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97F62">
      <w:pPr>
        <w:rPr>
          <w:rFonts w:ascii="黑体" w:hAnsi="黑体" w:eastAsia="黑体"/>
          <w:color w:val="000000" w:themeColor="text1"/>
          <w:sz w:val="28"/>
          <w:szCs w:val="28"/>
          <w14:textFill>
            <w14:solidFill>
              <w14:schemeClr w14:val="tx1"/>
            </w14:solidFill>
          </w14:textFill>
        </w:rPr>
      </w:pPr>
      <w:r>
        <w:rPr>
          <w:rFonts w:ascii="黑体" w:hAnsi="黑体" w:eastAsia="黑体"/>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100965</wp:posOffset>
                </wp:positionV>
                <wp:extent cx="1440180" cy="720090"/>
                <wp:effectExtent l="0" t="0" r="0" b="0"/>
                <wp:wrapSquare wrapText="bothSides"/>
                <wp:docPr id="324"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440180" cy="720090"/>
                        </a:xfrm>
                        <a:prstGeom prst="rect">
                          <a:avLst/>
                        </a:prstGeom>
                        <a:noFill/>
                        <a:ln>
                          <a:noFill/>
                        </a:ln>
                        <a:effectLst/>
                      </wps:spPr>
                      <wps:txbx>
                        <w:txbxContent>
                          <w:p w14:paraId="052E3B6A">
                            <w:pPr>
                              <w:spacing w:line="800" w:lineRule="exact"/>
                              <w:jc w:val="right"/>
                              <w:rPr>
                                <w:rFonts w:ascii="黑体" w:hAnsi="黑体" w:eastAsia="黑体"/>
                                <w:b/>
                                <w:w w:val="200"/>
                                <w:sz w:val="84"/>
                              </w:rPr>
                            </w:pPr>
                            <w:r>
                              <w:rPr>
                                <w:rFonts w:ascii="黑体" w:hAnsi="黑体" w:eastAsia="黑体"/>
                                <w:b/>
                                <w:w w:val="200"/>
                                <w:sz w:val="84"/>
                              </w:rPr>
                              <w:t>CJ</w:t>
                            </w:r>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315pt;margin-top:7.95pt;height:56.7pt;width:113.4pt;mso-wrap-distance-bottom:0pt;mso-wrap-distance-left:9pt;mso-wrap-distance-right:9pt;mso-wrap-distance-top:0pt;z-index:251659264;mso-width-relative:page;mso-height-relative:page;" filled="f" stroked="f" coordsize="21600,21600" o:gfxdata="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bN/TrXAAAACgEA&#10;AA8AAAAAAAAAAQAgAAAAIgAAAGRycy9kb3ducmV2LnhtbFBLAQIUABQAAAAIAIdO4kDmyESxGwIA&#10;ACUEAAAOAAAAAAAAAAEAIAAAACYBAABkcnMvZTJvRG9jLnhtbFBLBQYAAAAABgAGAFkBAACzBQAA&#10;AAA=&#10;">
                <v:fill on="f" focussize="0,0"/>
                <v:stroke on="f"/>
                <v:imagedata o:title=""/>
                <o:lock v:ext="edit" aspectratio="f"/>
                <v:textbox>
                  <w:txbxContent>
                    <w:p w14:paraId="052E3B6A">
                      <w:pPr>
                        <w:spacing w:line="800" w:lineRule="exact"/>
                        <w:jc w:val="right"/>
                        <w:rPr>
                          <w:rFonts w:ascii="黑体" w:hAnsi="黑体" w:eastAsia="黑体"/>
                          <w:b/>
                          <w:w w:val="200"/>
                          <w:sz w:val="84"/>
                        </w:rPr>
                      </w:pPr>
                      <w:r>
                        <w:rPr>
                          <w:rFonts w:ascii="黑体" w:hAnsi="黑体" w:eastAsia="黑体"/>
                          <w:b/>
                          <w:w w:val="200"/>
                          <w:sz w:val="84"/>
                        </w:rPr>
                        <w:t>CJ</w:t>
                      </w:r>
                    </w:p>
                  </w:txbxContent>
                </v:textbox>
                <w10:wrap type="square"/>
              </v:shape>
            </w:pict>
          </mc:Fallback>
        </mc:AlternateContent>
      </w:r>
      <w:r>
        <w:rPr>
          <w:rFonts w:hint="eastAsia" w:ascii="黑体" w:hAnsi="黑体" w:eastAsia="黑体"/>
          <w:color w:val="000000" w:themeColor="text1"/>
          <w:sz w:val="28"/>
          <w:szCs w:val="28"/>
          <w14:textFill>
            <w14:solidFill>
              <w14:schemeClr w14:val="tx1"/>
            </w14:solidFill>
          </w14:textFill>
        </w:rPr>
        <w:t xml:space="preserve">ICS </w:t>
      </w:r>
      <w:r>
        <w:rPr>
          <w:rFonts w:ascii="黑体" w:hAnsi="黑体" w:eastAsia="黑体"/>
          <w:color w:val="000000" w:themeColor="text1"/>
          <w:sz w:val="28"/>
          <w:szCs w:val="28"/>
          <w14:textFill>
            <w14:solidFill>
              <w14:schemeClr w14:val="tx1"/>
            </w14:solidFill>
          </w14:textFill>
        </w:rPr>
        <w:t>91.140</w:t>
      </w:r>
      <w:r>
        <w:rPr>
          <w:rFonts w:hint="eastAsia" w:ascii="黑体" w:hAnsi="黑体" w:eastAsia="黑体"/>
          <w:color w:val="000000" w:themeColor="text1"/>
          <w:sz w:val="28"/>
          <w:szCs w:val="28"/>
          <w14:textFill>
            <w14:solidFill>
              <w14:schemeClr w14:val="tx1"/>
            </w14:solidFill>
          </w14:textFill>
        </w:rPr>
        <w:t xml:space="preserve"> </w:t>
      </w:r>
    </w:p>
    <w:p w14:paraId="3F28A34D">
      <w:pP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P </w:t>
      </w:r>
      <w:r>
        <w:rPr>
          <w:rFonts w:ascii="黑体" w:hAnsi="黑体" w:eastAsia="黑体"/>
          <w:color w:val="000000" w:themeColor="text1"/>
          <w14:textFill>
            <w14:solidFill>
              <w14:schemeClr w14:val="tx1"/>
            </w14:solidFill>
          </w14:textFill>
        </w:rPr>
        <w:t>40</w:t>
      </w:r>
    </w:p>
    <w:p w14:paraId="150D8C81">
      <w:pPr>
        <w:jc w:val="center"/>
        <w:rPr>
          <w:rFonts w:eastAsia="黑体"/>
          <w:bCs/>
          <w:color w:val="000000" w:themeColor="text1"/>
          <w:kern w:val="0"/>
          <w:sz w:val="44"/>
          <w:szCs w:val="44"/>
          <w14:textFill>
            <w14:solidFill>
              <w14:schemeClr w14:val="tx1"/>
            </w14:solidFill>
          </w14:textFill>
        </w:rPr>
      </w:pPr>
    </w:p>
    <w:p w14:paraId="43D3E7F0">
      <w:pPr>
        <w:jc w:val="center"/>
        <w:rPr>
          <w:rFonts w:eastAsia="黑体"/>
          <w:bCs/>
          <w:color w:val="000000" w:themeColor="text1"/>
          <w:spacing w:val="116"/>
          <w:kern w:val="0"/>
          <w:sz w:val="44"/>
          <w:szCs w:val="44"/>
          <w14:textFill>
            <w14:solidFill>
              <w14:schemeClr w14:val="tx1"/>
            </w14:solidFill>
          </w14:textFill>
        </w:rPr>
      </w:pPr>
      <w:r>
        <w:rPr>
          <w:rFonts w:hint="eastAsia" w:eastAsia="黑体"/>
          <w:bCs/>
          <w:color w:val="000000" w:themeColor="text1"/>
          <w:spacing w:val="116"/>
          <w:kern w:val="0"/>
          <w:sz w:val="44"/>
          <w:szCs w:val="44"/>
          <w14:textFill>
            <w14:solidFill>
              <w14:schemeClr w14:val="tx1"/>
            </w14:solidFill>
          </w14:textFill>
        </w:rPr>
        <w:t>中华人民共和国城乡建设</w:t>
      </w:r>
    </w:p>
    <w:p w14:paraId="3375A912">
      <w:pPr>
        <w:jc w:val="center"/>
        <w:rPr>
          <w:rFonts w:eastAsia="黑体"/>
          <w:bCs/>
          <w:color w:val="000000" w:themeColor="text1"/>
          <w:sz w:val="44"/>
          <w:szCs w:val="44"/>
          <w14:textFill>
            <w14:solidFill>
              <w14:schemeClr w14:val="tx1"/>
            </w14:solidFill>
          </w14:textFill>
        </w:rPr>
      </w:pPr>
      <w:r>
        <w:rPr>
          <w:rFonts w:hint="eastAsia" w:eastAsia="黑体"/>
          <w:bCs/>
          <w:color w:val="000000" w:themeColor="text1"/>
          <w:spacing w:val="116"/>
          <w:kern w:val="0"/>
          <w:sz w:val="44"/>
          <w:szCs w:val="44"/>
          <w14:textFill>
            <w14:solidFill>
              <w14:schemeClr w14:val="tx1"/>
            </w14:solidFill>
          </w14:textFill>
        </w:rPr>
        <w:t>行业标</w:t>
      </w:r>
      <w:r>
        <w:rPr>
          <w:rFonts w:hint="eastAsia" w:eastAsia="黑体"/>
          <w:bCs/>
          <w:color w:val="000000" w:themeColor="text1"/>
          <w:kern w:val="0"/>
          <w:sz w:val="44"/>
          <w:szCs w:val="44"/>
          <w14:textFill>
            <w14:solidFill>
              <w14:schemeClr w14:val="tx1"/>
            </w14:solidFill>
          </w14:textFill>
        </w:rPr>
        <w:t>准</w:t>
      </w:r>
    </w:p>
    <w:p w14:paraId="43E3EAEF">
      <w:pPr>
        <w:jc w:val="right"/>
        <w:rPr>
          <w:color w:val="000000" w:themeColor="text1"/>
          <w14:textFill>
            <w14:solidFill>
              <w14:schemeClr w14:val="tx1"/>
            </w14:solidFill>
          </w14:textFill>
        </w:rPr>
      </w:pPr>
    </w:p>
    <w:p w14:paraId="19B8B309">
      <w:pPr>
        <w:jc w:val="right"/>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 xml:space="preserve">     </w:t>
      </w:r>
      <w:r>
        <w:rPr>
          <w:rFonts w:ascii="黑体"/>
          <w:bCs/>
          <w:color w:val="000000" w:themeColor="text1"/>
          <w:sz w:val="28"/>
          <w14:textFill>
            <w14:solidFill>
              <w14:schemeClr w14:val="tx1"/>
            </w14:solidFill>
          </w14:textFill>
        </w:rPr>
        <w:t>CJ</w:t>
      </w:r>
      <w:r>
        <w:rPr>
          <w:rFonts w:hint="eastAsia" w:ascii="黑体"/>
          <w:bCs/>
          <w:color w:val="000000" w:themeColor="text1"/>
          <w:sz w:val="28"/>
          <w14:textFill>
            <w14:solidFill>
              <w14:schemeClr w14:val="tx1"/>
            </w14:solidFill>
          </w14:textFill>
        </w:rPr>
        <w:t>/T XXXXX-</w:t>
      </w:r>
      <w:r>
        <w:rPr>
          <w:rFonts w:hint="eastAsia" w:ascii="黑体"/>
          <w:bCs/>
          <w:color w:val="000000" w:themeColor="text1"/>
          <w:sz w:val="28"/>
          <w:lang w:val="en-US" w:eastAsia="zh-CN"/>
          <w14:textFill>
            <w14:solidFill>
              <w14:schemeClr w14:val="tx1"/>
            </w14:solidFill>
          </w14:textFill>
        </w:rPr>
        <w:t>202</w:t>
      </w:r>
      <w:r>
        <w:rPr>
          <w:rFonts w:hint="eastAsia" w:ascii="黑体"/>
          <w:bCs/>
          <w:color w:val="000000" w:themeColor="text1"/>
          <w:sz w:val="28"/>
          <w14:textFill>
            <w14:solidFill>
              <w14:schemeClr w14:val="tx1"/>
            </w14:solidFill>
          </w14:textFill>
        </w:rPr>
        <w:t>X</w:t>
      </w:r>
    </w:p>
    <w:p w14:paraId="5DB91C6F">
      <w:pPr>
        <w:pStyle w:val="20"/>
        <w:rPr>
          <w:color w:val="000000" w:themeColor="text1"/>
          <w14:textFill>
            <w14:solidFill>
              <w14:schemeClr w14:val="tx1"/>
            </w14:solidFill>
          </w14:textFill>
        </w:rPr>
      </w:pPr>
      <w:r>
        <w:rPr>
          <w:color w:val="000000" w:themeColor="text1"/>
          <w:sz w:val="2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-90170</wp:posOffset>
                </wp:positionH>
                <wp:positionV relativeFrom="paragraph">
                  <wp:posOffset>90170</wp:posOffset>
                </wp:positionV>
                <wp:extent cx="5673090" cy="0"/>
                <wp:effectExtent l="0" t="9525" r="3810" b="9525"/>
                <wp:wrapNone/>
                <wp:docPr id="323"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73090" cy="0"/>
                        </a:xfrm>
                        <a:prstGeom prst="line">
                          <a:avLst/>
                        </a:prstGeom>
                        <a:noFill/>
                        <a:ln w="19050">
                          <a:solidFill>
                            <a:srgbClr val="000000"/>
                          </a:solidFill>
                          <a:round/>
                        </a:ln>
                        <a:effectLst/>
                      </wps:spPr>
                      <wps:bodyPr/>
                    </wps:wsp>
                  </a:graphicData>
                </a:graphic>
              </wp:anchor>
            </w:drawing>
          </mc:Choice>
          <mc:Fallback>
            <w:pict>
              <v:line id="直接连接符 4" o:spid="_x0000_s1026" o:spt="20" style="position:absolute;left:0pt;margin-left:-7.1pt;margin-top:7.1pt;height:0pt;width:446.7pt;z-index:251660288;mso-width-relative:page;mso-height-relative:page;" filled="f" stroked="t" coordsize="21600,21600" o:gfxdata="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4bd&#10;BtUAAAAJAQAADwAAAAAAAAABACAAAAAiAAAAZHJzL2Rvd25yZXYueG1sUEsBAhQAFAAAAAgAh07i&#10;QD5Ji63sAQAAuwMAAA4AAAAAAAAAAQAgAAAAJAEAAGRycy9lMm9Eb2MueG1sUEsFBgAAAAAGAAYA&#10;WQEAAIIFAAAAAA==&#10;">
                <v:fill on="f" focussize="0,0"/>
                <v:stroke weight="1.5pt" color="#000000" joinstyle="round"/>
                <v:imagedata o:title=""/>
                <o:lock v:ext="edit" aspectratio="f"/>
              </v:line>
            </w:pict>
          </mc:Fallback>
        </mc:AlternateContent>
      </w:r>
    </w:p>
    <w:p w14:paraId="2184C90F">
      <w:pPr>
        <w:rPr>
          <w:rFonts w:ascii="黑体" w:hAnsi="黑体" w:eastAsia="黑体"/>
          <w:color w:val="000000" w:themeColor="text1"/>
          <w:sz w:val="44"/>
          <w:szCs w:val="44"/>
          <w14:textFill>
            <w14:solidFill>
              <w14:schemeClr w14:val="tx1"/>
            </w14:solidFill>
          </w14:textFill>
        </w:rPr>
      </w:pPr>
    </w:p>
    <w:p w14:paraId="7E220C27">
      <w:pPr>
        <w:jc w:val="center"/>
        <w:rPr>
          <w:rFonts w:ascii="黑体" w:hAnsi="黑体" w:eastAsia="黑体"/>
          <w:color w:val="000000" w:themeColor="text1"/>
          <w:sz w:val="44"/>
          <w:szCs w:val="44"/>
          <w14:textFill>
            <w14:solidFill>
              <w14:schemeClr w14:val="tx1"/>
            </w14:solidFill>
          </w14:textFill>
        </w:rPr>
      </w:pPr>
    </w:p>
    <w:p w14:paraId="7B392DD9">
      <w:pPr>
        <w:jc w:val="center"/>
        <w:rPr>
          <w:rFonts w:ascii="黑体" w:hAnsi="黑体" w:eastAsia="黑体"/>
          <w:color w:val="000000" w:themeColor="text1"/>
          <w:sz w:val="48"/>
          <w:szCs w:val="48"/>
          <w14:textFill>
            <w14:solidFill>
              <w14:schemeClr w14:val="tx1"/>
            </w14:solidFill>
          </w14:textFill>
        </w:rPr>
      </w:pPr>
      <w:r>
        <w:rPr>
          <w:rFonts w:hint="eastAsia" w:ascii="黑体" w:hAnsi="黑体" w:eastAsia="黑体"/>
          <w:color w:val="000000" w:themeColor="text1"/>
          <w:sz w:val="48"/>
          <w:szCs w:val="48"/>
          <w14:textFill>
            <w14:solidFill>
              <w14:schemeClr w14:val="tx1"/>
            </w14:solidFill>
          </w14:textFill>
        </w:rPr>
        <w:t>城乡水务信息系统安全技术要求</w:t>
      </w:r>
    </w:p>
    <w:p w14:paraId="5BA0DD6F">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Technical requirements </w:t>
      </w:r>
      <w:r>
        <w:rPr>
          <w:rFonts w:hint="eastAsia"/>
          <w:color w:val="000000" w:themeColor="text1"/>
          <w:sz w:val="28"/>
          <w:szCs w:val="28"/>
          <w14:textFill>
            <w14:solidFill>
              <w14:schemeClr w14:val="tx1"/>
            </w14:solidFill>
          </w14:textFill>
        </w:rPr>
        <w:t>for</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u</w:t>
      </w:r>
      <w:r>
        <w:rPr>
          <w:color w:val="000000" w:themeColor="text1"/>
          <w:sz w:val="28"/>
          <w:szCs w:val="28"/>
          <w14:textFill>
            <w14:solidFill>
              <w14:schemeClr w14:val="tx1"/>
            </w14:solidFill>
          </w14:textFill>
        </w:rPr>
        <w:t xml:space="preserve">rban </w:t>
      </w:r>
      <w:r>
        <w:rPr>
          <w:rFonts w:hint="eastAsia"/>
          <w:color w:val="000000" w:themeColor="text1"/>
          <w:sz w:val="28"/>
          <w:szCs w:val="28"/>
          <w14:textFill>
            <w14:solidFill>
              <w14:schemeClr w14:val="tx1"/>
            </w14:solidFill>
          </w14:textFill>
        </w:rPr>
        <w:t>and</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rural</w:t>
      </w:r>
      <w:r>
        <w:rPr>
          <w:color w:val="000000" w:themeColor="text1"/>
          <w:sz w:val="28"/>
          <w:szCs w:val="28"/>
          <w14:textFill>
            <w14:solidFill>
              <w14:schemeClr w14:val="tx1"/>
            </w14:solidFill>
          </w14:textFill>
        </w:rPr>
        <w:t xml:space="preserve"> water affairs information systems security </w:t>
      </w:r>
    </w:p>
    <w:p w14:paraId="0F17820C">
      <w:pPr>
        <w:adjustRightInd w:val="0"/>
        <w:snapToGrid w:val="0"/>
        <w:jc w:val="center"/>
        <w:rPr>
          <w:rFonts w:hint="eastAsia" w:ascii="宋体" w:hAnsi="宋体" w:eastAsia="宋体"/>
          <w:b w:val="0"/>
          <w:bCs w:val="0"/>
          <w:color w:val="000000" w:themeColor="text1"/>
          <w:sz w:val="28"/>
          <w:szCs w:val="28"/>
          <w:lang w:eastAsia="zh-CN"/>
          <w14:textFill>
            <w14:solidFill>
              <w14:schemeClr w14:val="tx1"/>
            </w14:solidFill>
          </w14:textFill>
        </w:rPr>
      </w:pPr>
      <w:r>
        <w:rPr>
          <w:rFonts w:hint="eastAsia" w:ascii="宋体" w:hAnsi="宋体"/>
          <w:b w:val="0"/>
          <w:bCs w:val="0"/>
          <w:color w:val="000000" w:themeColor="text1"/>
          <w:sz w:val="28"/>
          <w:szCs w:val="28"/>
          <w:lang w:eastAsia="zh-CN"/>
          <w14:textFill>
            <w14:solidFill>
              <w14:schemeClr w14:val="tx1"/>
            </w14:solidFill>
          </w14:textFill>
        </w:rPr>
        <w:t>（</w:t>
      </w:r>
      <w:r>
        <w:rPr>
          <w:rFonts w:hint="eastAsia" w:ascii="宋体" w:hAnsi="宋体"/>
          <w:b w:val="0"/>
          <w:bCs w:val="0"/>
          <w:color w:val="000000" w:themeColor="text1"/>
          <w:sz w:val="28"/>
          <w:szCs w:val="28"/>
          <w:lang w:val="en-US" w:eastAsia="zh-CN"/>
          <w14:textFill>
            <w14:solidFill>
              <w14:schemeClr w14:val="tx1"/>
            </w14:solidFill>
          </w14:textFill>
        </w:rPr>
        <w:t>征求意见稿</w:t>
      </w:r>
      <w:r>
        <w:rPr>
          <w:rFonts w:hint="eastAsia" w:ascii="宋体" w:hAnsi="宋体"/>
          <w:b w:val="0"/>
          <w:bCs w:val="0"/>
          <w:color w:val="000000" w:themeColor="text1"/>
          <w:sz w:val="28"/>
          <w:szCs w:val="28"/>
          <w:lang w:eastAsia="zh-CN"/>
          <w14:textFill>
            <w14:solidFill>
              <w14:schemeClr w14:val="tx1"/>
            </w14:solidFill>
          </w14:textFill>
        </w:rPr>
        <w:t>）</w:t>
      </w:r>
    </w:p>
    <w:p w14:paraId="13E4C860">
      <w:pPr>
        <w:adjustRightInd w:val="0"/>
        <w:snapToGrid w:val="0"/>
        <w:jc w:val="center"/>
        <w:rPr>
          <w:rFonts w:ascii="宋体" w:hAnsi="宋体"/>
          <w:b/>
          <w:bCs/>
          <w:color w:val="000000" w:themeColor="text1"/>
          <w:sz w:val="36"/>
          <w14:textFill>
            <w14:solidFill>
              <w14:schemeClr w14:val="tx1"/>
            </w14:solidFill>
          </w14:textFill>
        </w:rPr>
      </w:pPr>
    </w:p>
    <w:p w14:paraId="2039083D">
      <w:pPr>
        <w:adjustRightInd w:val="0"/>
        <w:snapToGrid w:val="0"/>
        <w:jc w:val="both"/>
        <w:rPr>
          <w:rFonts w:hint="default" w:ascii="宋体" w:hAnsi="宋体" w:eastAsia="宋体"/>
          <w:b/>
          <w:bCs/>
          <w:color w:val="000000" w:themeColor="text1"/>
          <w:sz w:val="36"/>
          <w:lang w:val="en-US" w:eastAsia="zh-CN"/>
          <w14:textFill>
            <w14:solidFill>
              <w14:schemeClr w14:val="tx1"/>
            </w14:solidFill>
          </w14:textFill>
        </w:rPr>
      </w:pPr>
      <w:r>
        <w:rPr>
          <w:rFonts w:hint="eastAsia" w:ascii="宋体" w:hAnsi="宋体"/>
          <w:b/>
          <w:bCs/>
          <w:color w:val="000000" w:themeColor="text1"/>
          <w:sz w:val="36"/>
          <w:lang w:val="en-US" w:eastAsia="zh-CN"/>
          <w14:textFill>
            <w14:solidFill>
              <w14:schemeClr w14:val="tx1"/>
            </w14:solidFill>
          </w14:textFill>
        </w:rPr>
        <w:t xml:space="preserve">                                           </w:t>
      </w:r>
      <w:bookmarkStart w:id="291" w:name="_GoBack"/>
      <w:bookmarkEnd w:id="291"/>
    </w:p>
    <w:p w14:paraId="4A616267">
      <w:pPr>
        <w:adjustRightInd w:val="0"/>
        <w:snapToGrid w:val="0"/>
        <w:jc w:val="center"/>
        <w:rPr>
          <w:rFonts w:ascii="宋体" w:hAnsi="宋体"/>
          <w:b w:val="0"/>
          <w:bCs w:val="0"/>
          <w:color w:val="000000" w:themeColor="text1"/>
          <w:sz w:val="28"/>
          <w:szCs w:val="21"/>
          <w14:textFill>
            <w14:solidFill>
              <w14:schemeClr w14:val="tx1"/>
            </w14:solidFill>
          </w14:textFill>
        </w:rPr>
      </w:pPr>
      <w:r>
        <w:rPr>
          <w:rFonts w:hint="eastAsia" w:ascii="宋体" w:hAnsi="宋体"/>
          <w:b w:val="0"/>
          <w:bCs w:val="0"/>
          <w:color w:val="000000" w:themeColor="text1"/>
          <w:sz w:val="28"/>
          <w:szCs w:val="21"/>
          <w14:textFill>
            <w14:solidFill>
              <w14:schemeClr w14:val="tx1"/>
            </w14:solidFill>
          </w14:textFill>
        </w:rPr>
        <w:t>在提交反馈意见时，请将您知道的相关专利连同支持性文件一并附上。</w:t>
      </w:r>
    </w:p>
    <w:p w14:paraId="4AE7BF53">
      <w:pPr>
        <w:adjustRightInd w:val="0"/>
        <w:snapToGrid w:val="0"/>
        <w:rPr>
          <w:rFonts w:ascii="宋体" w:hAnsi="宋体"/>
          <w:b/>
          <w:bCs/>
          <w:color w:val="000000" w:themeColor="text1"/>
          <w:sz w:val="36"/>
          <w14:textFill>
            <w14:solidFill>
              <w14:schemeClr w14:val="tx1"/>
            </w14:solidFill>
          </w14:textFill>
        </w:rPr>
      </w:pPr>
    </w:p>
    <w:p w14:paraId="37A3B2B0">
      <w:pPr>
        <w:adjustRightInd w:val="0"/>
        <w:snapToGrid w:val="0"/>
        <w:rPr>
          <w:rFonts w:ascii="宋体" w:hAnsi="宋体"/>
          <w:b/>
          <w:bCs/>
          <w:color w:val="000000" w:themeColor="text1"/>
          <w:sz w:val="36"/>
          <w14:textFill>
            <w14:solidFill>
              <w14:schemeClr w14:val="tx1"/>
            </w14:solidFill>
          </w14:textFill>
        </w:rPr>
      </w:pPr>
    </w:p>
    <w:p w14:paraId="1E0AD41E">
      <w:pPr>
        <w:pStyle w:val="6"/>
        <w:jc w:val="center"/>
        <w:rPr>
          <w:rFonts w:ascii="Times New Roman" w:eastAsia="宋体"/>
          <w:color w:val="000000" w:themeColor="text1"/>
          <w:sz w:val="24"/>
          <w:szCs w:val="24"/>
          <w14:textFill>
            <w14:solidFill>
              <w14:schemeClr w14:val="tx1"/>
            </w14:solidFill>
          </w14:textFill>
        </w:rPr>
      </w:pPr>
      <w:r>
        <w:rPr>
          <w:rFonts w:hint="eastAsia" w:ascii="黑体" w:eastAsia="黑体"/>
          <w:color w:val="000000" w:themeColor="text1"/>
          <w:sz w:val="24"/>
          <w:szCs w:val="24"/>
          <w14:textFill>
            <w14:solidFill>
              <w14:schemeClr w14:val="tx1"/>
            </w14:solidFill>
          </w14:textFill>
        </w:rPr>
        <w:t>20</w:t>
      </w:r>
      <w:r>
        <w:rPr>
          <w:rFonts w:ascii="黑体" w:eastAsia="黑体"/>
          <w:color w:val="000000" w:themeColor="text1"/>
          <w:sz w:val="24"/>
          <w:szCs w:val="24"/>
          <w14:textFill>
            <w14:solidFill>
              <w14:schemeClr w14:val="tx1"/>
            </w14:solidFill>
          </w14:textFill>
        </w:rPr>
        <w:t>2</w:t>
      </w:r>
      <w:r>
        <w:rPr>
          <w:rFonts w:hint="eastAsia" w:ascii="黑体" w:eastAsia="黑体"/>
          <w:color w:val="000000" w:themeColor="text1"/>
          <w:sz w:val="24"/>
          <w:szCs w:val="24"/>
          <w:lang w:val="en-US" w:eastAsia="zh-CN"/>
          <w14:textFill>
            <w14:solidFill>
              <w14:schemeClr w14:val="tx1"/>
            </w14:solidFill>
          </w14:textFill>
        </w:rPr>
        <w:t>X</w:t>
      </w:r>
      <w:r>
        <w:rPr>
          <w:rFonts w:hint="eastAsia" w:ascii="黑体" w:eastAsia="黑体"/>
          <w:color w:val="000000" w:themeColor="text1"/>
          <w:sz w:val="24"/>
          <w:szCs w:val="24"/>
          <w14:textFill>
            <w14:solidFill>
              <w14:schemeClr w14:val="tx1"/>
            </w14:solidFill>
          </w14:textFill>
        </w:rPr>
        <w:t>-</w:t>
      </w:r>
      <w:r>
        <w:rPr>
          <w:rFonts w:hint="eastAsia" w:ascii="黑体" w:eastAsia="黑体"/>
          <w:color w:val="000000" w:themeColor="text1"/>
          <w:sz w:val="24"/>
          <w:szCs w:val="24"/>
          <w:lang w:val="en-US" w:eastAsia="zh-CN"/>
          <w14:textFill>
            <w14:solidFill>
              <w14:schemeClr w14:val="tx1"/>
            </w14:solidFill>
          </w14:textFill>
        </w:rPr>
        <w:t>XX</w:t>
      </w:r>
      <w:r>
        <w:rPr>
          <w:rFonts w:hint="eastAsia" w:ascii="黑体" w:eastAsia="黑体"/>
          <w:color w:val="000000" w:themeColor="text1"/>
          <w:sz w:val="24"/>
          <w:szCs w:val="24"/>
          <w14:textFill>
            <w14:solidFill>
              <w14:schemeClr w14:val="tx1"/>
            </w14:solidFill>
          </w14:textFill>
        </w:rPr>
        <w:t>-</w:t>
      </w:r>
      <w:r>
        <w:rPr>
          <w:rFonts w:hint="eastAsia" w:ascii="黑体" w:eastAsia="黑体"/>
          <w:color w:val="000000" w:themeColor="text1"/>
          <w:sz w:val="24"/>
          <w:szCs w:val="24"/>
          <w:lang w:val="en-US" w:eastAsia="zh-CN"/>
          <w14:textFill>
            <w14:solidFill>
              <w14:schemeClr w14:val="tx1"/>
            </w14:solidFill>
          </w14:textFill>
        </w:rPr>
        <w:t xml:space="preserve">XX </w:t>
      </w:r>
      <w:r>
        <w:rPr>
          <w:rFonts w:hint="eastAsia" w:ascii="黑体" w:eastAsia="黑体"/>
          <w:color w:val="000000" w:themeColor="text1"/>
          <w:sz w:val="24"/>
          <w:szCs w:val="24"/>
          <w14:textFill>
            <w14:solidFill>
              <w14:schemeClr w14:val="tx1"/>
            </w14:solidFill>
          </w14:textFill>
        </w:rPr>
        <w:t xml:space="preserve">发布                                       </w:t>
      </w:r>
      <w:r>
        <w:rPr>
          <w:rFonts w:hint="eastAsia" w:ascii="黑体" w:hAnsi="宋体" w:eastAsia="黑体"/>
          <w:color w:val="000000" w:themeColor="text1"/>
          <w:sz w:val="24"/>
          <w:szCs w:val="24"/>
          <w14:textFill>
            <w14:solidFill>
              <w14:schemeClr w14:val="tx1"/>
            </w14:solidFill>
          </w14:textFill>
        </w:rPr>
        <w:t>20</w:t>
      </w:r>
      <w:r>
        <w:rPr>
          <w:rFonts w:ascii="黑体" w:hAnsi="宋体" w:eastAsia="黑体"/>
          <w:color w:val="000000" w:themeColor="text1"/>
          <w:sz w:val="24"/>
          <w:szCs w:val="24"/>
          <w14:textFill>
            <w14:solidFill>
              <w14:schemeClr w14:val="tx1"/>
            </w14:solidFill>
          </w14:textFill>
        </w:rPr>
        <w:t>2</w:t>
      </w:r>
      <w:r>
        <w:rPr>
          <w:rFonts w:hint="eastAsia" w:ascii="黑体" w:hAnsi="宋体" w:eastAsia="黑体"/>
          <w:color w:val="000000" w:themeColor="text1"/>
          <w:sz w:val="24"/>
          <w:szCs w:val="24"/>
          <w:lang w:val="en-US" w:eastAsia="zh-CN"/>
          <w14:textFill>
            <w14:solidFill>
              <w14:schemeClr w14:val="tx1"/>
            </w14:solidFill>
          </w14:textFill>
        </w:rPr>
        <w:t>X</w:t>
      </w:r>
      <w:r>
        <w:rPr>
          <w:rFonts w:hint="eastAsia" w:ascii="黑体" w:hAnsi="宋体" w:eastAsia="黑体"/>
          <w:color w:val="000000" w:themeColor="text1"/>
          <w:sz w:val="24"/>
          <w:szCs w:val="24"/>
          <w14:textFill>
            <w14:solidFill>
              <w14:schemeClr w14:val="tx1"/>
            </w14:solidFill>
          </w14:textFill>
        </w:rPr>
        <w:t>-</w:t>
      </w:r>
      <w:r>
        <w:rPr>
          <w:rFonts w:hint="eastAsia" w:ascii="黑体" w:hAnsi="宋体" w:eastAsia="黑体"/>
          <w:color w:val="000000" w:themeColor="text1"/>
          <w:sz w:val="24"/>
          <w:szCs w:val="24"/>
          <w:lang w:val="en-US" w:eastAsia="zh-CN"/>
          <w14:textFill>
            <w14:solidFill>
              <w14:schemeClr w14:val="tx1"/>
            </w14:solidFill>
          </w14:textFill>
        </w:rPr>
        <w:t>XX</w:t>
      </w:r>
      <w:r>
        <w:rPr>
          <w:rFonts w:hint="eastAsia" w:ascii="黑体" w:hAnsi="宋体" w:eastAsia="黑体"/>
          <w:color w:val="000000" w:themeColor="text1"/>
          <w:sz w:val="24"/>
          <w:szCs w:val="24"/>
          <w14:textFill>
            <w14:solidFill>
              <w14:schemeClr w14:val="tx1"/>
            </w14:solidFill>
          </w14:textFill>
        </w:rPr>
        <w:t>-</w:t>
      </w:r>
      <w:r>
        <w:rPr>
          <w:rFonts w:hint="eastAsia" w:ascii="黑体" w:hAnsi="宋体" w:eastAsia="黑体"/>
          <w:color w:val="000000" w:themeColor="text1"/>
          <w:sz w:val="24"/>
          <w:szCs w:val="24"/>
          <w:lang w:val="en-US" w:eastAsia="zh-CN"/>
          <w14:textFill>
            <w14:solidFill>
              <w14:schemeClr w14:val="tx1"/>
            </w14:solidFill>
          </w14:textFill>
        </w:rPr>
        <w:t xml:space="preserve">XX </w:t>
      </w:r>
      <w:r>
        <w:rPr>
          <w:rFonts w:hint="eastAsia" w:ascii="黑体" w:hAnsi="宋体" w:eastAsia="黑体"/>
          <w:color w:val="000000" w:themeColor="text1"/>
          <w:sz w:val="24"/>
          <w:szCs w:val="24"/>
          <w14:textFill>
            <w14:solidFill>
              <w14:schemeClr w14:val="tx1"/>
            </w14:solidFill>
          </w14:textFill>
        </w:rPr>
        <w:t>实施</w:t>
      </w:r>
    </w:p>
    <w:p w14:paraId="207855FF">
      <w:pPr>
        <w:adjustRightInd w:val="0"/>
        <w:snapToGrid w:val="0"/>
        <w:jc w:val="center"/>
        <w:rPr>
          <w:rFonts w:ascii="黑体" w:hAnsi="宋体" w:eastAsia="黑体"/>
          <w:color w:val="000000" w:themeColor="text1"/>
          <w:sz w:val="32"/>
          <w:szCs w:val="32"/>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-120015</wp:posOffset>
                </wp:positionH>
                <wp:positionV relativeFrom="paragraph">
                  <wp:posOffset>88265</wp:posOffset>
                </wp:positionV>
                <wp:extent cx="5680710" cy="0"/>
                <wp:effectExtent l="0" t="9525" r="15240" b="9525"/>
                <wp:wrapNone/>
                <wp:docPr id="32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80710" cy="0"/>
                        </a:xfrm>
                        <a:prstGeom prst="line">
                          <a:avLst/>
                        </a:prstGeom>
                        <a:noFill/>
                        <a:ln w="19050">
                          <a:solidFill>
                            <a:srgbClr val="000000"/>
                          </a:solidFill>
                          <a:round/>
                        </a:ln>
                        <a:effectLst/>
                      </wps:spPr>
                      <wps:bodyPr/>
                    </wps:wsp>
                  </a:graphicData>
                </a:graphic>
              </wp:anchor>
            </w:drawing>
          </mc:Choice>
          <mc:Fallback>
            <w:pict>
              <v:line id="直接连接符 3" o:spid="_x0000_s1026" o:spt="20" style="position:absolute;left:0pt;margin-left:-9.45pt;margin-top:6.95pt;height:0pt;width:447.3pt;z-index:251661312;mso-width-relative:page;mso-height-relative:page;" filled="f" stroked="t" coordsize="21600,21600" o:gfxdata="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APM&#10;YtYAAAAJAQAADwAAAAAAAAABACAAAAAiAAAAZHJzL2Rvd25yZXYueG1sUEsBAhQAFAAAAAgAh07i&#10;QHXA9M3rAQAAuwMAAA4AAAAAAAAAAQAgAAAAJQEAAGRycy9lMm9Eb2MueG1sUEsFBgAAAAAGAAYA&#10;WQEAAIIFAAAAAA==&#10;">
                <v:fill on="f" focussize="0,0"/>
                <v:stroke weight="1.5pt" color="#000000" joinstyle="round"/>
                <v:imagedata o:title=""/>
                <o:lock v:ext="edit" aspectratio="f"/>
              </v:line>
            </w:pict>
          </mc:Fallback>
        </mc:AlternateContent>
      </w:r>
      <w:r>
        <w:rPr>
          <w:rFonts w:hint="eastAsia" w:ascii="黑体" w:hAnsi="宋体" w:eastAsia="黑体"/>
          <w:color w:val="000000" w:themeColor="text1"/>
          <w:sz w:val="32"/>
          <w:szCs w:val="32"/>
          <w14:textFill>
            <w14:solidFill>
              <w14:schemeClr w14:val="tx1"/>
            </w14:solidFill>
          </w14:textFill>
        </w:rPr>
        <w:t xml:space="preserve">  </w:t>
      </w:r>
    </w:p>
    <w:p w14:paraId="4387DBF9">
      <w:pPr>
        <w:adjustRightInd w:val="0"/>
        <w:snapToGrid w:val="0"/>
        <w:jc w:val="center"/>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中华人民共和国住房和城乡建设部  发布</w:t>
      </w:r>
    </w:p>
    <w:p w14:paraId="4E0EAC1C">
      <w:pPr>
        <w:rPr>
          <w:color w:val="000000" w:themeColor="text1"/>
          <w14:textFill>
            <w14:solidFill>
              <w14:schemeClr w14:val="tx1"/>
            </w14:solidFill>
          </w14:textFill>
        </w:rPr>
        <w:sectPr>
          <w:footerReference r:id="rId8" w:type="first"/>
          <w:footerReference r:id="rId6" w:type="default"/>
          <w:headerReference r:id="rId5" w:type="even"/>
          <w:footerReference r:id="rId7" w:type="even"/>
          <w:pgSz w:w="11906" w:h="16838"/>
          <w:pgMar w:top="1440" w:right="1800" w:bottom="1440" w:left="1800" w:header="851" w:footer="992" w:gutter="0"/>
          <w:pgNumType w:fmt="upperRoman"/>
          <w:cols w:space="425" w:num="1"/>
          <w:titlePg/>
          <w:docGrid w:type="lines" w:linePitch="312" w:charSpace="0"/>
        </w:sectPr>
      </w:pPr>
    </w:p>
    <w:sdt>
      <w:sdtPr>
        <w:rPr>
          <w:rFonts w:ascii="Times New Roman" w:hAnsi="Times New Roman" w:eastAsia="宋体" w:cs="Times New Roman"/>
          <w:color w:val="000000" w:themeColor="text1"/>
          <w:kern w:val="2"/>
          <w:sz w:val="21"/>
          <w:szCs w:val="24"/>
          <w:lang w:val="zh-CN"/>
          <w14:textFill>
            <w14:solidFill>
              <w14:schemeClr w14:val="tx1"/>
            </w14:solidFill>
          </w14:textFill>
        </w:rPr>
        <w:id w:val="474437383"/>
        <w:docPartObj>
          <w:docPartGallery w:val="Table of Contents"/>
          <w:docPartUnique/>
        </w:docPartObj>
      </w:sdtPr>
      <w:sdtEndPr>
        <w:rPr>
          <w:rFonts w:ascii="宋体" w:hAnsi="宋体" w:eastAsia="宋体" w:cs="Times New Roman"/>
          <w:b/>
          <w:bCs/>
          <w:color w:val="000000" w:themeColor="text1"/>
          <w:kern w:val="2"/>
          <w:sz w:val="21"/>
          <w:szCs w:val="21"/>
          <w:lang w:val="zh-CN"/>
          <w14:textFill>
            <w14:solidFill>
              <w14:schemeClr w14:val="tx1"/>
            </w14:solidFill>
          </w14:textFill>
        </w:rPr>
      </w:sdtEndPr>
      <w:sdtContent>
        <w:p w14:paraId="23ED810B">
          <w:pPr>
            <w:pStyle w:val="31"/>
            <w:spacing w:before="312" w:after="468" w:afterLines="150" w:line="240" w:lineRule="auto"/>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lang w:val="zh-CN"/>
              <w14:textFill>
                <w14:solidFill>
                  <w14:schemeClr w14:val="tx1"/>
                </w14:solidFill>
              </w14:textFill>
            </w:rPr>
            <w:t>目    次</w:t>
          </w:r>
        </w:p>
        <w:p w14:paraId="79A6D28E">
          <w:pPr>
            <w:pStyle w:val="10"/>
            <w:tabs>
              <w:tab w:val="right" w:leader="dot" w:pos="9344"/>
            </w:tabs>
            <w:rPr>
              <w:rFonts w:asciiTheme="minorHAnsi" w:hAnsiTheme="minorHAnsi" w:eastAsiaTheme="minorEastAsia" w:cstheme="minorBidi"/>
              <w:szCs w:val="22"/>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TOC \o "1-3" \h \z \u </w:instrText>
          </w:r>
          <w:r>
            <w:rPr>
              <w:rFonts w:ascii="宋体" w:hAnsi="宋体"/>
              <w:color w:val="000000" w:themeColor="text1"/>
              <w:szCs w:val="21"/>
              <w14:textFill>
                <w14:solidFill>
                  <w14:schemeClr w14:val="tx1"/>
                </w14:solidFill>
              </w14:textFill>
            </w:rPr>
            <w:fldChar w:fldCharType="separate"/>
          </w:r>
          <w:r>
            <w:fldChar w:fldCharType="begin"/>
          </w:r>
          <w:r>
            <w:instrText xml:space="preserve"> HYPERLINK \l "_Toc207032517" </w:instrText>
          </w:r>
          <w:r>
            <w:fldChar w:fldCharType="separate"/>
          </w:r>
          <w:r>
            <w:rPr>
              <w:rStyle w:val="17"/>
              <w:rFonts w:ascii="黑体" w:eastAsia="黑体"/>
            </w:rPr>
            <w:t>前  言</w:t>
          </w:r>
          <w:r>
            <w:tab/>
          </w:r>
          <w:r>
            <w:fldChar w:fldCharType="begin"/>
          </w:r>
          <w:r>
            <w:instrText xml:space="preserve"> PAGEREF _Toc207032517 \h </w:instrText>
          </w:r>
          <w:r>
            <w:fldChar w:fldCharType="separate"/>
          </w:r>
          <w:r>
            <w:t>III</w:t>
          </w:r>
          <w:r>
            <w:fldChar w:fldCharType="end"/>
          </w:r>
          <w:r>
            <w:fldChar w:fldCharType="end"/>
          </w:r>
        </w:p>
        <w:p w14:paraId="0FE88E58">
          <w:pPr>
            <w:pStyle w:val="10"/>
            <w:tabs>
              <w:tab w:val="left" w:pos="210"/>
              <w:tab w:val="right" w:leader="dot" w:pos="9344"/>
            </w:tabs>
            <w:rPr>
              <w:rFonts w:asciiTheme="minorHAnsi" w:hAnsiTheme="minorHAnsi" w:eastAsiaTheme="minorEastAsia" w:cstheme="minorBidi"/>
              <w:szCs w:val="22"/>
            </w:rPr>
          </w:pPr>
          <w:r>
            <w:fldChar w:fldCharType="begin"/>
          </w:r>
          <w:r>
            <w:instrText xml:space="preserve"> HYPERLINK \l "_Toc207032518" </w:instrText>
          </w:r>
          <w:r>
            <w:fldChar w:fldCharType="separate"/>
          </w:r>
          <w:r>
            <w:rPr>
              <w:rStyle w:val="17"/>
            </w:rPr>
            <w:t>1</w:t>
          </w:r>
          <w:r>
            <w:rPr>
              <w:rFonts w:asciiTheme="minorHAnsi" w:hAnsiTheme="minorHAnsi" w:eastAsiaTheme="minorEastAsia" w:cstheme="minorBidi"/>
              <w:szCs w:val="22"/>
            </w:rPr>
            <w:tab/>
          </w:r>
          <w:r>
            <w:rPr>
              <w:rStyle w:val="17"/>
            </w:rPr>
            <w:t>范围</w:t>
          </w:r>
          <w:r>
            <w:tab/>
          </w:r>
          <w:r>
            <w:fldChar w:fldCharType="begin"/>
          </w:r>
          <w:r>
            <w:instrText xml:space="preserve"> PAGEREF _Toc207032518 \h </w:instrText>
          </w:r>
          <w:r>
            <w:fldChar w:fldCharType="separate"/>
          </w:r>
          <w:r>
            <w:t>1</w:t>
          </w:r>
          <w:r>
            <w:fldChar w:fldCharType="end"/>
          </w:r>
          <w:r>
            <w:fldChar w:fldCharType="end"/>
          </w:r>
        </w:p>
        <w:p w14:paraId="67A98A14">
          <w:pPr>
            <w:pStyle w:val="10"/>
            <w:tabs>
              <w:tab w:val="left" w:pos="210"/>
              <w:tab w:val="right" w:leader="dot" w:pos="9344"/>
            </w:tabs>
            <w:rPr>
              <w:rFonts w:asciiTheme="minorHAnsi" w:hAnsiTheme="minorHAnsi" w:eastAsiaTheme="minorEastAsia" w:cstheme="minorBidi"/>
              <w:szCs w:val="22"/>
            </w:rPr>
          </w:pPr>
          <w:r>
            <w:fldChar w:fldCharType="begin"/>
          </w:r>
          <w:r>
            <w:instrText xml:space="preserve"> HYPERLINK \l "_Toc207032519" </w:instrText>
          </w:r>
          <w:r>
            <w:fldChar w:fldCharType="separate"/>
          </w:r>
          <w:r>
            <w:rPr>
              <w:rStyle w:val="17"/>
            </w:rPr>
            <w:t>2</w:t>
          </w:r>
          <w:r>
            <w:rPr>
              <w:rFonts w:asciiTheme="minorHAnsi" w:hAnsiTheme="minorHAnsi" w:eastAsiaTheme="minorEastAsia" w:cstheme="minorBidi"/>
              <w:szCs w:val="22"/>
            </w:rPr>
            <w:tab/>
          </w:r>
          <w:r>
            <w:rPr>
              <w:rStyle w:val="17"/>
            </w:rPr>
            <w:t>规范性引用文件</w:t>
          </w:r>
          <w:r>
            <w:tab/>
          </w:r>
          <w:r>
            <w:fldChar w:fldCharType="begin"/>
          </w:r>
          <w:r>
            <w:instrText xml:space="preserve"> PAGEREF _Toc207032519 \h </w:instrText>
          </w:r>
          <w:r>
            <w:fldChar w:fldCharType="separate"/>
          </w:r>
          <w:r>
            <w:t>1</w:t>
          </w:r>
          <w:r>
            <w:fldChar w:fldCharType="end"/>
          </w:r>
          <w:r>
            <w:fldChar w:fldCharType="end"/>
          </w:r>
        </w:p>
        <w:p w14:paraId="6E22FF60">
          <w:pPr>
            <w:pStyle w:val="10"/>
            <w:tabs>
              <w:tab w:val="left" w:pos="210"/>
              <w:tab w:val="right" w:leader="dot" w:pos="9344"/>
            </w:tabs>
            <w:rPr>
              <w:rFonts w:asciiTheme="minorHAnsi" w:hAnsiTheme="minorHAnsi" w:eastAsiaTheme="minorEastAsia" w:cstheme="minorBidi"/>
              <w:szCs w:val="22"/>
            </w:rPr>
          </w:pPr>
          <w:r>
            <w:fldChar w:fldCharType="begin"/>
          </w:r>
          <w:r>
            <w:instrText xml:space="preserve"> HYPERLINK \l "_Toc207032520" </w:instrText>
          </w:r>
          <w:r>
            <w:fldChar w:fldCharType="separate"/>
          </w:r>
          <w:r>
            <w:rPr>
              <w:rStyle w:val="17"/>
            </w:rPr>
            <w:t>3</w:t>
          </w:r>
          <w:r>
            <w:rPr>
              <w:rFonts w:asciiTheme="minorHAnsi" w:hAnsiTheme="minorHAnsi" w:eastAsiaTheme="minorEastAsia" w:cstheme="minorBidi"/>
              <w:szCs w:val="22"/>
            </w:rPr>
            <w:tab/>
          </w:r>
          <w:r>
            <w:rPr>
              <w:rStyle w:val="17"/>
            </w:rPr>
            <w:t>术语和定义</w:t>
          </w:r>
          <w:r>
            <w:tab/>
          </w:r>
          <w:r>
            <w:fldChar w:fldCharType="begin"/>
          </w:r>
          <w:r>
            <w:instrText xml:space="preserve"> PAGEREF _Toc207032520 \h </w:instrText>
          </w:r>
          <w:r>
            <w:fldChar w:fldCharType="separate"/>
          </w:r>
          <w:r>
            <w:t>1</w:t>
          </w:r>
          <w:r>
            <w:fldChar w:fldCharType="end"/>
          </w:r>
          <w:r>
            <w:fldChar w:fldCharType="end"/>
          </w:r>
        </w:p>
        <w:p w14:paraId="4FABE51C">
          <w:pPr>
            <w:pStyle w:val="10"/>
            <w:tabs>
              <w:tab w:val="right" w:leader="dot" w:pos="9344"/>
            </w:tabs>
            <w:rPr>
              <w:rFonts w:asciiTheme="minorHAnsi" w:hAnsiTheme="minorHAnsi" w:eastAsiaTheme="minorEastAsia" w:cstheme="minorBidi"/>
              <w:szCs w:val="22"/>
            </w:rPr>
          </w:pPr>
          <w:r>
            <w:fldChar w:fldCharType="begin"/>
          </w:r>
          <w:r>
            <w:instrText xml:space="preserve"> HYPERLINK \l "_Toc207032521" </w:instrText>
          </w:r>
          <w:r>
            <w:fldChar w:fldCharType="separate"/>
          </w:r>
          <w:r>
            <w:rPr>
              <w:rStyle w:val="17"/>
            </w:rPr>
            <w:t>4 缩略语</w:t>
          </w:r>
          <w:r>
            <w:tab/>
          </w:r>
          <w:r>
            <w:fldChar w:fldCharType="begin"/>
          </w:r>
          <w:r>
            <w:instrText xml:space="preserve"> PAGEREF _Toc207032521 \h </w:instrText>
          </w:r>
          <w:r>
            <w:fldChar w:fldCharType="separate"/>
          </w:r>
          <w:r>
            <w:t>2</w:t>
          </w:r>
          <w:r>
            <w:fldChar w:fldCharType="end"/>
          </w:r>
          <w:r>
            <w:fldChar w:fldCharType="end"/>
          </w:r>
        </w:p>
        <w:p w14:paraId="108137EB">
          <w:pPr>
            <w:pStyle w:val="10"/>
            <w:tabs>
              <w:tab w:val="right" w:leader="dot" w:pos="9344"/>
            </w:tabs>
            <w:rPr>
              <w:rFonts w:asciiTheme="minorHAnsi" w:hAnsiTheme="minorHAnsi" w:eastAsiaTheme="minorEastAsia" w:cstheme="minorBidi"/>
              <w:szCs w:val="22"/>
            </w:rPr>
          </w:pPr>
          <w:r>
            <w:fldChar w:fldCharType="begin"/>
          </w:r>
          <w:r>
            <w:instrText xml:space="preserve"> HYPERLINK \l "_Toc207032522" </w:instrText>
          </w:r>
          <w:r>
            <w:fldChar w:fldCharType="separate"/>
          </w:r>
          <w:r>
            <w:rPr>
              <w:rStyle w:val="17"/>
            </w:rPr>
            <w:t>5  总体要求</w:t>
          </w:r>
          <w:r>
            <w:tab/>
          </w:r>
          <w:r>
            <w:fldChar w:fldCharType="begin"/>
          </w:r>
          <w:r>
            <w:instrText xml:space="preserve"> PAGEREF _Toc207032522 \h </w:instrText>
          </w:r>
          <w:r>
            <w:fldChar w:fldCharType="separate"/>
          </w:r>
          <w:r>
            <w:t>2</w:t>
          </w:r>
          <w:r>
            <w:fldChar w:fldCharType="end"/>
          </w:r>
          <w:r>
            <w:fldChar w:fldCharType="end"/>
          </w:r>
        </w:p>
        <w:p w14:paraId="484AF68E">
          <w:pPr>
            <w:pStyle w:val="11"/>
            <w:tabs>
              <w:tab w:val="right" w:leader="dot" w:pos="9344"/>
            </w:tabs>
            <w:rPr>
              <w:rFonts w:asciiTheme="minorHAnsi" w:hAnsiTheme="minorHAnsi" w:eastAsiaTheme="minorEastAsia" w:cstheme="minorBidi"/>
              <w:szCs w:val="22"/>
            </w:rPr>
          </w:pPr>
          <w:r>
            <w:fldChar w:fldCharType="begin"/>
          </w:r>
          <w:r>
            <w:instrText xml:space="preserve"> HYPERLINK \l "_Toc207032523" </w:instrText>
          </w:r>
          <w:r>
            <w:fldChar w:fldCharType="separate"/>
          </w:r>
          <w:r>
            <w:rPr>
              <w:rStyle w:val="17"/>
            </w:rPr>
            <w:t>5.1安全原则</w:t>
          </w:r>
          <w:r>
            <w:tab/>
          </w:r>
          <w:r>
            <w:fldChar w:fldCharType="begin"/>
          </w:r>
          <w:r>
            <w:instrText xml:space="preserve"> PAGEREF _Toc207032523 \h </w:instrText>
          </w:r>
          <w:r>
            <w:fldChar w:fldCharType="separate"/>
          </w:r>
          <w:r>
            <w:t>2</w:t>
          </w:r>
          <w:r>
            <w:fldChar w:fldCharType="end"/>
          </w:r>
          <w:r>
            <w:fldChar w:fldCharType="end"/>
          </w:r>
        </w:p>
        <w:p w14:paraId="752AA10E">
          <w:pPr>
            <w:pStyle w:val="11"/>
            <w:tabs>
              <w:tab w:val="right" w:leader="dot" w:pos="9344"/>
            </w:tabs>
            <w:rPr>
              <w:rFonts w:asciiTheme="minorHAnsi" w:hAnsiTheme="minorHAnsi" w:eastAsiaTheme="minorEastAsia" w:cstheme="minorBidi"/>
              <w:szCs w:val="22"/>
            </w:rPr>
          </w:pPr>
          <w:r>
            <w:fldChar w:fldCharType="begin"/>
          </w:r>
          <w:r>
            <w:instrText xml:space="preserve"> HYPERLINK \l "_Toc207032530" </w:instrText>
          </w:r>
          <w:r>
            <w:fldChar w:fldCharType="separate"/>
          </w:r>
          <w:r>
            <w:rPr>
              <w:rStyle w:val="17"/>
            </w:rPr>
            <w:t>5.2 安全技术总体架构</w:t>
          </w:r>
          <w:r>
            <w:tab/>
          </w:r>
          <w:r>
            <w:fldChar w:fldCharType="begin"/>
          </w:r>
          <w:r>
            <w:instrText xml:space="preserve"> PAGEREF _Toc207032530 \h </w:instrText>
          </w:r>
          <w:r>
            <w:fldChar w:fldCharType="separate"/>
          </w:r>
          <w:r>
            <w:t>3</w:t>
          </w:r>
          <w:r>
            <w:fldChar w:fldCharType="end"/>
          </w:r>
          <w:r>
            <w:fldChar w:fldCharType="end"/>
          </w:r>
        </w:p>
        <w:p w14:paraId="7F7196CF">
          <w:pPr>
            <w:pStyle w:val="11"/>
            <w:tabs>
              <w:tab w:val="right" w:leader="dot" w:pos="9344"/>
            </w:tabs>
            <w:rPr>
              <w:rFonts w:asciiTheme="minorHAnsi" w:hAnsiTheme="minorHAnsi" w:eastAsiaTheme="minorEastAsia" w:cstheme="minorBidi"/>
              <w:szCs w:val="22"/>
            </w:rPr>
          </w:pPr>
          <w:r>
            <w:fldChar w:fldCharType="begin"/>
          </w:r>
          <w:r>
            <w:instrText xml:space="preserve"> HYPERLINK \l "_Toc207032531" </w:instrText>
          </w:r>
          <w:r>
            <w:fldChar w:fldCharType="separate"/>
          </w:r>
          <w:r>
            <w:rPr>
              <w:rStyle w:val="17"/>
            </w:rPr>
            <w:t>5.3 水务系统生命周期管理</w:t>
          </w:r>
          <w:r>
            <w:tab/>
          </w:r>
          <w:r>
            <w:fldChar w:fldCharType="begin"/>
          </w:r>
          <w:r>
            <w:instrText xml:space="preserve"> PAGEREF _Toc207032531 \h </w:instrText>
          </w:r>
          <w:r>
            <w:fldChar w:fldCharType="separate"/>
          </w:r>
          <w:r>
            <w:t>4</w:t>
          </w:r>
          <w:r>
            <w:fldChar w:fldCharType="end"/>
          </w:r>
          <w:r>
            <w:fldChar w:fldCharType="end"/>
          </w:r>
        </w:p>
        <w:p w14:paraId="610CB4FD">
          <w:pPr>
            <w:pStyle w:val="11"/>
            <w:tabs>
              <w:tab w:val="right" w:leader="dot" w:pos="9344"/>
            </w:tabs>
            <w:rPr>
              <w:rFonts w:asciiTheme="minorHAnsi" w:hAnsiTheme="minorHAnsi" w:eastAsiaTheme="minorEastAsia" w:cstheme="minorBidi"/>
              <w:szCs w:val="22"/>
            </w:rPr>
          </w:pPr>
          <w:r>
            <w:fldChar w:fldCharType="begin"/>
          </w:r>
          <w:r>
            <w:instrText xml:space="preserve"> HYPERLINK \l "_Toc207032535" </w:instrText>
          </w:r>
          <w:r>
            <w:fldChar w:fldCharType="separate"/>
          </w:r>
          <w:r>
            <w:rPr>
              <w:rStyle w:val="17"/>
            </w:rPr>
            <w:t>5.4信创要求</w:t>
          </w:r>
          <w:r>
            <w:tab/>
          </w:r>
          <w:r>
            <w:fldChar w:fldCharType="begin"/>
          </w:r>
          <w:r>
            <w:instrText xml:space="preserve"> PAGEREF _Toc207032535 \h </w:instrText>
          </w:r>
          <w:r>
            <w:fldChar w:fldCharType="separate"/>
          </w:r>
          <w:r>
            <w:t>4</w:t>
          </w:r>
          <w:r>
            <w:fldChar w:fldCharType="end"/>
          </w:r>
          <w:r>
            <w:fldChar w:fldCharType="end"/>
          </w:r>
        </w:p>
        <w:p w14:paraId="269FD528">
          <w:pPr>
            <w:pStyle w:val="11"/>
            <w:tabs>
              <w:tab w:val="right" w:leader="dot" w:pos="9344"/>
            </w:tabs>
            <w:rPr>
              <w:rFonts w:asciiTheme="minorHAnsi" w:hAnsiTheme="minorHAnsi" w:eastAsiaTheme="minorEastAsia" w:cstheme="minorBidi"/>
              <w:szCs w:val="22"/>
            </w:rPr>
          </w:pPr>
          <w:r>
            <w:fldChar w:fldCharType="begin"/>
          </w:r>
          <w:r>
            <w:instrText xml:space="preserve"> HYPERLINK \l "_Toc207032538" </w:instrText>
          </w:r>
          <w:r>
            <w:fldChar w:fldCharType="separate"/>
          </w:r>
          <w:r>
            <w:rPr>
              <w:rStyle w:val="17"/>
            </w:rPr>
            <w:t>5.5等级保护要求</w:t>
          </w:r>
          <w:r>
            <w:tab/>
          </w:r>
          <w:r>
            <w:fldChar w:fldCharType="begin"/>
          </w:r>
          <w:r>
            <w:instrText xml:space="preserve"> PAGEREF _Toc207032538 \h </w:instrText>
          </w:r>
          <w:r>
            <w:fldChar w:fldCharType="separate"/>
          </w:r>
          <w:r>
            <w:t>5</w:t>
          </w:r>
          <w:r>
            <w:fldChar w:fldCharType="end"/>
          </w:r>
          <w:r>
            <w:fldChar w:fldCharType="end"/>
          </w:r>
        </w:p>
        <w:p w14:paraId="5CC11B8C">
          <w:pPr>
            <w:pStyle w:val="10"/>
            <w:tabs>
              <w:tab w:val="right" w:leader="dot" w:pos="9344"/>
            </w:tabs>
            <w:rPr>
              <w:rFonts w:asciiTheme="minorHAnsi" w:hAnsiTheme="minorHAnsi" w:eastAsiaTheme="minorEastAsia" w:cstheme="minorBidi"/>
              <w:szCs w:val="22"/>
            </w:rPr>
          </w:pPr>
          <w:r>
            <w:fldChar w:fldCharType="begin"/>
          </w:r>
          <w:r>
            <w:instrText xml:space="preserve"> HYPERLINK \l "_Toc207032539" </w:instrText>
          </w:r>
          <w:r>
            <w:fldChar w:fldCharType="separate"/>
          </w:r>
          <w:r>
            <w:rPr>
              <w:rStyle w:val="17"/>
            </w:rPr>
            <w:t>6  要求</w:t>
          </w:r>
          <w:r>
            <w:tab/>
          </w:r>
          <w:r>
            <w:fldChar w:fldCharType="begin"/>
          </w:r>
          <w:r>
            <w:instrText xml:space="preserve"> PAGEREF _Toc207032539 \h </w:instrText>
          </w:r>
          <w:r>
            <w:fldChar w:fldCharType="separate"/>
          </w:r>
          <w:r>
            <w:t>5</w:t>
          </w:r>
          <w:r>
            <w:fldChar w:fldCharType="end"/>
          </w:r>
          <w:r>
            <w:fldChar w:fldCharType="end"/>
          </w:r>
        </w:p>
        <w:p w14:paraId="774AB6A7">
          <w:pPr>
            <w:pStyle w:val="11"/>
            <w:tabs>
              <w:tab w:val="right" w:leader="dot" w:pos="9344"/>
            </w:tabs>
            <w:rPr>
              <w:rFonts w:asciiTheme="minorHAnsi" w:hAnsiTheme="minorHAnsi" w:eastAsiaTheme="minorEastAsia" w:cstheme="minorBidi"/>
              <w:szCs w:val="22"/>
            </w:rPr>
          </w:pPr>
          <w:r>
            <w:fldChar w:fldCharType="begin"/>
          </w:r>
          <w:r>
            <w:instrText xml:space="preserve"> HYPERLINK \l "_Toc207032540" </w:instrText>
          </w:r>
          <w:r>
            <w:fldChar w:fldCharType="separate"/>
          </w:r>
          <w:r>
            <w:rPr>
              <w:rStyle w:val="17"/>
            </w:rPr>
            <w:t>6.1 物理安全</w:t>
          </w:r>
          <w:r>
            <w:tab/>
          </w:r>
          <w:r>
            <w:fldChar w:fldCharType="begin"/>
          </w:r>
          <w:r>
            <w:instrText xml:space="preserve"> PAGEREF _Toc207032540 \h </w:instrText>
          </w:r>
          <w:r>
            <w:fldChar w:fldCharType="separate"/>
          </w:r>
          <w:r>
            <w:t>5</w:t>
          </w:r>
          <w:r>
            <w:fldChar w:fldCharType="end"/>
          </w:r>
          <w:r>
            <w:fldChar w:fldCharType="end"/>
          </w:r>
        </w:p>
        <w:p w14:paraId="084E1AFC">
          <w:pPr>
            <w:pStyle w:val="11"/>
            <w:tabs>
              <w:tab w:val="right" w:leader="dot" w:pos="9344"/>
            </w:tabs>
            <w:rPr>
              <w:rFonts w:asciiTheme="minorHAnsi" w:hAnsiTheme="minorHAnsi" w:eastAsiaTheme="minorEastAsia" w:cstheme="minorBidi"/>
              <w:szCs w:val="22"/>
            </w:rPr>
          </w:pPr>
          <w:r>
            <w:fldChar w:fldCharType="begin"/>
          </w:r>
          <w:r>
            <w:instrText xml:space="preserve"> HYPERLINK \l "_Toc207032541" </w:instrText>
          </w:r>
          <w:r>
            <w:fldChar w:fldCharType="separate"/>
          </w:r>
          <w:r>
            <w:rPr>
              <w:rStyle w:val="17"/>
            </w:rPr>
            <w:t>6.2 网络安全</w:t>
          </w:r>
          <w:r>
            <w:tab/>
          </w:r>
          <w:r>
            <w:fldChar w:fldCharType="begin"/>
          </w:r>
          <w:r>
            <w:instrText xml:space="preserve"> PAGEREF _Toc207032541 \h </w:instrText>
          </w:r>
          <w:r>
            <w:fldChar w:fldCharType="separate"/>
          </w:r>
          <w:r>
            <w:t>5</w:t>
          </w:r>
          <w:r>
            <w:fldChar w:fldCharType="end"/>
          </w:r>
          <w:r>
            <w:fldChar w:fldCharType="end"/>
          </w:r>
        </w:p>
        <w:p w14:paraId="376DE1D5">
          <w:pPr>
            <w:pStyle w:val="11"/>
            <w:tabs>
              <w:tab w:val="right" w:leader="dot" w:pos="9344"/>
            </w:tabs>
            <w:rPr>
              <w:rFonts w:asciiTheme="minorHAnsi" w:hAnsiTheme="minorHAnsi" w:eastAsiaTheme="minorEastAsia" w:cstheme="minorBidi"/>
              <w:szCs w:val="22"/>
            </w:rPr>
          </w:pPr>
          <w:r>
            <w:fldChar w:fldCharType="begin"/>
          </w:r>
          <w:r>
            <w:instrText xml:space="preserve"> HYPERLINK \l "_Toc207032542" </w:instrText>
          </w:r>
          <w:r>
            <w:fldChar w:fldCharType="separate"/>
          </w:r>
          <w:r>
            <w:rPr>
              <w:rStyle w:val="17"/>
            </w:rPr>
            <w:t>6.3 应用安全</w:t>
          </w:r>
          <w:r>
            <w:tab/>
          </w:r>
          <w:r>
            <w:fldChar w:fldCharType="begin"/>
          </w:r>
          <w:r>
            <w:instrText xml:space="preserve"> PAGEREF _Toc207032542 \h </w:instrText>
          </w:r>
          <w:r>
            <w:fldChar w:fldCharType="separate"/>
          </w:r>
          <w:r>
            <w:t>6</w:t>
          </w:r>
          <w:r>
            <w:fldChar w:fldCharType="end"/>
          </w:r>
          <w:r>
            <w:fldChar w:fldCharType="end"/>
          </w:r>
        </w:p>
        <w:p w14:paraId="0D7D6945">
          <w:pPr>
            <w:pStyle w:val="11"/>
            <w:tabs>
              <w:tab w:val="right" w:leader="dot" w:pos="9344"/>
            </w:tabs>
            <w:rPr>
              <w:rFonts w:asciiTheme="minorHAnsi" w:hAnsiTheme="minorHAnsi" w:eastAsiaTheme="minorEastAsia" w:cstheme="minorBidi"/>
              <w:szCs w:val="22"/>
            </w:rPr>
          </w:pPr>
          <w:r>
            <w:fldChar w:fldCharType="begin"/>
          </w:r>
          <w:r>
            <w:instrText xml:space="preserve"> HYPERLINK \l "_Toc207032543" </w:instrText>
          </w:r>
          <w:r>
            <w:fldChar w:fldCharType="separate"/>
          </w:r>
          <w:r>
            <w:rPr>
              <w:rStyle w:val="17"/>
            </w:rPr>
            <w:t>6.4 基础设施安全</w:t>
          </w:r>
          <w:r>
            <w:tab/>
          </w:r>
          <w:r>
            <w:fldChar w:fldCharType="begin"/>
          </w:r>
          <w:r>
            <w:instrText xml:space="preserve"> PAGEREF _Toc207032543 \h </w:instrText>
          </w:r>
          <w:r>
            <w:fldChar w:fldCharType="separate"/>
          </w:r>
          <w:r>
            <w:t>6</w:t>
          </w:r>
          <w:r>
            <w:fldChar w:fldCharType="end"/>
          </w:r>
          <w:r>
            <w:fldChar w:fldCharType="end"/>
          </w:r>
        </w:p>
        <w:p w14:paraId="1F3C3B15">
          <w:pPr>
            <w:pStyle w:val="11"/>
            <w:tabs>
              <w:tab w:val="right" w:leader="dot" w:pos="9344"/>
            </w:tabs>
            <w:rPr>
              <w:rFonts w:asciiTheme="minorHAnsi" w:hAnsiTheme="minorHAnsi" w:eastAsiaTheme="minorEastAsia" w:cstheme="minorBidi"/>
              <w:szCs w:val="22"/>
            </w:rPr>
          </w:pPr>
          <w:r>
            <w:fldChar w:fldCharType="begin"/>
          </w:r>
          <w:r>
            <w:instrText xml:space="preserve"> HYPERLINK \l "_Toc207032544" </w:instrText>
          </w:r>
          <w:r>
            <w:fldChar w:fldCharType="separate"/>
          </w:r>
          <w:r>
            <w:rPr>
              <w:rStyle w:val="17"/>
            </w:rPr>
            <w:t>6.5 数据安全</w:t>
          </w:r>
          <w:r>
            <w:tab/>
          </w:r>
          <w:r>
            <w:fldChar w:fldCharType="begin"/>
          </w:r>
          <w:r>
            <w:instrText xml:space="preserve"> PAGEREF _Toc207032544 \h </w:instrText>
          </w:r>
          <w:r>
            <w:fldChar w:fldCharType="separate"/>
          </w:r>
          <w:r>
            <w:t>6</w:t>
          </w:r>
          <w:r>
            <w:fldChar w:fldCharType="end"/>
          </w:r>
          <w:r>
            <w:fldChar w:fldCharType="end"/>
          </w:r>
        </w:p>
        <w:p w14:paraId="5F372FB5">
          <w:pPr>
            <w:pStyle w:val="11"/>
            <w:tabs>
              <w:tab w:val="right" w:leader="dot" w:pos="9344"/>
            </w:tabs>
            <w:rPr>
              <w:rFonts w:asciiTheme="minorHAnsi" w:hAnsiTheme="minorHAnsi" w:eastAsiaTheme="minorEastAsia" w:cstheme="minorBidi"/>
              <w:szCs w:val="22"/>
            </w:rPr>
          </w:pPr>
          <w:r>
            <w:fldChar w:fldCharType="begin"/>
          </w:r>
          <w:r>
            <w:instrText xml:space="preserve"> HYPERLINK \l "_Toc207032552" </w:instrText>
          </w:r>
          <w:r>
            <w:fldChar w:fldCharType="separate"/>
          </w:r>
          <w:r>
            <w:rPr>
              <w:rStyle w:val="17"/>
            </w:rPr>
            <w:t>6.6 访问控制</w:t>
          </w:r>
          <w:r>
            <w:tab/>
          </w:r>
          <w:r>
            <w:fldChar w:fldCharType="begin"/>
          </w:r>
          <w:r>
            <w:instrText xml:space="preserve"> PAGEREF _Toc207032552 \h </w:instrText>
          </w:r>
          <w:r>
            <w:fldChar w:fldCharType="separate"/>
          </w:r>
          <w:r>
            <w:t>9</w:t>
          </w:r>
          <w:r>
            <w:fldChar w:fldCharType="end"/>
          </w:r>
          <w:r>
            <w:fldChar w:fldCharType="end"/>
          </w:r>
        </w:p>
        <w:p w14:paraId="632E14C2">
          <w:pPr>
            <w:pStyle w:val="11"/>
            <w:tabs>
              <w:tab w:val="right" w:leader="dot" w:pos="9344"/>
            </w:tabs>
            <w:rPr>
              <w:rFonts w:asciiTheme="minorHAnsi" w:hAnsiTheme="minorHAnsi" w:eastAsiaTheme="minorEastAsia" w:cstheme="minorBidi"/>
              <w:szCs w:val="22"/>
            </w:rPr>
          </w:pPr>
          <w:r>
            <w:fldChar w:fldCharType="begin"/>
          </w:r>
          <w:r>
            <w:instrText xml:space="preserve"> HYPERLINK \l "_Toc207032553" </w:instrText>
          </w:r>
          <w:r>
            <w:fldChar w:fldCharType="separate"/>
          </w:r>
          <w:r>
            <w:rPr>
              <w:rStyle w:val="17"/>
            </w:rPr>
            <w:t>6.7 云服务安全</w:t>
          </w:r>
          <w:r>
            <w:tab/>
          </w:r>
          <w:r>
            <w:fldChar w:fldCharType="begin"/>
          </w:r>
          <w:r>
            <w:instrText xml:space="preserve"> PAGEREF _Toc207032553 \h </w:instrText>
          </w:r>
          <w:r>
            <w:fldChar w:fldCharType="separate"/>
          </w:r>
          <w:r>
            <w:t>10</w:t>
          </w:r>
          <w:r>
            <w:fldChar w:fldCharType="end"/>
          </w:r>
          <w:r>
            <w:fldChar w:fldCharType="end"/>
          </w:r>
        </w:p>
        <w:p w14:paraId="79DF46CA">
          <w:pPr>
            <w:pStyle w:val="11"/>
            <w:tabs>
              <w:tab w:val="right" w:leader="dot" w:pos="9344"/>
            </w:tabs>
            <w:rPr>
              <w:rFonts w:asciiTheme="minorHAnsi" w:hAnsiTheme="minorHAnsi" w:eastAsiaTheme="minorEastAsia" w:cstheme="minorBidi"/>
              <w:szCs w:val="22"/>
            </w:rPr>
          </w:pPr>
          <w:r>
            <w:fldChar w:fldCharType="begin"/>
          </w:r>
          <w:r>
            <w:instrText xml:space="preserve"> HYPERLINK \l "_Toc207032554" </w:instrText>
          </w:r>
          <w:r>
            <w:fldChar w:fldCharType="separate"/>
          </w:r>
          <w:r>
            <w:rPr>
              <w:rStyle w:val="17"/>
            </w:rPr>
            <w:t>6.8 物联网安全</w:t>
          </w:r>
          <w:r>
            <w:tab/>
          </w:r>
          <w:r>
            <w:fldChar w:fldCharType="begin"/>
          </w:r>
          <w:r>
            <w:instrText xml:space="preserve"> PAGEREF _Toc207032554 \h </w:instrText>
          </w:r>
          <w:r>
            <w:fldChar w:fldCharType="separate"/>
          </w:r>
          <w:r>
            <w:t>10</w:t>
          </w:r>
          <w:r>
            <w:fldChar w:fldCharType="end"/>
          </w:r>
          <w:r>
            <w:fldChar w:fldCharType="end"/>
          </w:r>
        </w:p>
        <w:p w14:paraId="05ABBE4E">
          <w:pPr>
            <w:pStyle w:val="10"/>
            <w:tabs>
              <w:tab w:val="right" w:leader="dot" w:pos="9344"/>
            </w:tabs>
            <w:rPr>
              <w:rFonts w:asciiTheme="minorHAnsi" w:hAnsiTheme="minorHAnsi" w:eastAsiaTheme="minorEastAsia" w:cstheme="minorBidi"/>
              <w:szCs w:val="22"/>
            </w:rPr>
          </w:pPr>
          <w:r>
            <w:fldChar w:fldCharType="begin"/>
          </w:r>
          <w:r>
            <w:instrText xml:space="preserve"> HYPERLINK \l "_Toc207032555" </w:instrText>
          </w:r>
          <w:r>
            <w:fldChar w:fldCharType="separate"/>
          </w:r>
          <w:r>
            <w:rPr>
              <w:rStyle w:val="17"/>
            </w:rPr>
            <w:t>7  管理保障体系</w:t>
          </w:r>
          <w:r>
            <w:tab/>
          </w:r>
          <w:r>
            <w:fldChar w:fldCharType="begin"/>
          </w:r>
          <w:r>
            <w:instrText xml:space="preserve"> PAGEREF _Toc207032555 \h </w:instrText>
          </w:r>
          <w:r>
            <w:fldChar w:fldCharType="separate"/>
          </w:r>
          <w:r>
            <w:t>10</w:t>
          </w:r>
          <w:r>
            <w:fldChar w:fldCharType="end"/>
          </w:r>
          <w:r>
            <w:fldChar w:fldCharType="end"/>
          </w:r>
        </w:p>
        <w:p w14:paraId="28B060D2">
          <w:pPr>
            <w:pStyle w:val="11"/>
            <w:tabs>
              <w:tab w:val="right" w:leader="dot" w:pos="9344"/>
            </w:tabs>
            <w:rPr>
              <w:rFonts w:asciiTheme="minorHAnsi" w:hAnsiTheme="minorHAnsi" w:eastAsiaTheme="minorEastAsia" w:cstheme="minorBidi"/>
              <w:szCs w:val="22"/>
            </w:rPr>
          </w:pPr>
          <w:r>
            <w:fldChar w:fldCharType="begin"/>
          </w:r>
          <w:r>
            <w:instrText xml:space="preserve"> HYPERLINK \l "_Toc207032556" </w:instrText>
          </w:r>
          <w:r>
            <w:fldChar w:fldCharType="separate"/>
          </w:r>
          <w:r>
            <w:rPr>
              <w:rStyle w:val="17"/>
            </w:rPr>
            <w:t>7.1 信息安全组织及制度</w:t>
          </w:r>
          <w:r>
            <w:tab/>
          </w:r>
          <w:r>
            <w:fldChar w:fldCharType="begin"/>
          </w:r>
          <w:r>
            <w:instrText xml:space="preserve"> PAGEREF _Toc207032556 \h </w:instrText>
          </w:r>
          <w:r>
            <w:fldChar w:fldCharType="separate"/>
          </w:r>
          <w:r>
            <w:t>10</w:t>
          </w:r>
          <w:r>
            <w:fldChar w:fldCharType="end"/>
          </w:r>
          <w:r>
            <w:fldChar w:fldCharType="end"/>
          </w:r>
        </w:p>
        <w:p w14:paraId="5EF43454">
          <w:pPr>
            <w:pStyle w:val="11"/>
            <w:tabs>
              <w:tab w:val="right" w:leader="dot" w:pos="9344"/>
            </w:tabs>
            <w:rPr>
              <w:rFonts w:asciiTheme="minorHAnsi" w:hAnsiTheme="minorHAnsi" w:eastAsiaTheme="minorEastAsia" w:cstheme="minorBidi"/>
              <w:szCs w:val="22"/>
            </w:rPr>
          </w:pPr>
          <w:r>
            <w:fldChar w:fldCharType="begin"/>
          </w:r>
          <w:r>
            <w:instrText xml:space="preserve"> HYPERLINK \l "_Toc207032559" </w:instrText>
          </w:r>
          <w:r>
            <w:fldChar w:fldCharType="separate"/>
          </w:r>
          <w:r>
            <w:rPr>
              <w:rStyle w:val="17"/>
            </w:rPr>
            <w:t>7.2 信息安全审计与评估</w:t>
          </w:r>
          <w:r>
            <w:tab/>
          </w:r>
          <w:r>
            <w:fldChar w:fldCharType="begin"/>
          </w:r>
          <w:r>
            <w:instrText xml:space="preserve"> PAGEREF _Toc207032559 \h </w:instrText>
          </w:r>
          <w:r>
            <w:fldChar w:fldCharType="separate"/>
          </w:r>
          <w:r>
            <w:t>11</w:t>
          </w:r>
          <w:r>
            <w:fldChar w:fldCharType="end"/>
          </w:r>
          <w:r>
            <w:fldChar w:fldCharType="end"/>
          </w:r>
        </w:p>
        <w:p w14:paraId="29B6FCB3">
          <w:pPr>
            <w:pStyle w:val="11"/>
            <w:tabs>
              <w:tab w:val="right" w:leader="dot" w:pos="9344"/>
            </w:tabs>
            <w:rPr>
              <w:rFonts w:asciiTheme="minorHAnsi" w:hAnsiTheme="minorHAnsi" w:eastAsiaTheme="minorEastAsia" w:cstheme="minorBidi"/>
              <w:szCs w:val="22"/>
            </w:rPr>
          </w:pPr>
          <w:r>
            <w:fldChar w:fldCharType="begin"/>
          </w:r>
          <w:r>
            <w:instrText xml:space="preserve"> HYPERLINK \l "_Toc207032563" </w:instrText>
          </w:r>
          <w:r>
            <w:fldChar w:fldCharType="separate"/>
          </w:r>
          <w:r>
            <w:rPr>
              <w:rStyle w:val="17"/>
            </w:rPr>
            <w:t>7.3 信息安全培训</w:t>
          </w:r>
          <w:r>
            <w:tab/>
          </w:r>
          <w:r>
            <w:fldChar w:fldCharType="begin"/>
          </w:r>
          <w:r>
            <w:instrText xml:space="preserve"> PAGEREF _Toc207032563 \h </w:instrText>
          </w:r>
          <w:r>
            <w:fldChar w:fldCharType="separate"/>
          </w:r>
          <w:r>
            <w:t>17</w:t>
          </w:r>
          <w:r>
            <w:fldChar w:fldCharType="end"/>
          </w:r>
          <w:r>
            <w:fldChar w:fldCharType="end"/>
          </w:r>
        </w:p>
        <w:p w14:paraId="33FDBD31">
          <w:pPr>
            <w:pStyle w:val="11"/>
            <w:tabs>
              <w:tab w:val="right" w:leader="dot" w:pos="9344"/>
            </w:tabs>
            <w:rPr>
              <w:rFonts w:asciiTheme="minorHAnsi" w:hAnsiTheme="minorHAnsi" w:eastAsiaTheme="minorEastAsia" w:cstheme="minorBidi"/>
              <w:szCs w:val="22"/>
            </w:rPr>
          </w:pPr>
          <w:r>
            <w:fldChar w:fldCharType="begin"/>
          </w:r>
          <w:r>
            <w:instrText xml:space="preserve"> HYPERLINK \l "_Toc207032565" </w:instrText>
          </w:r>
          <w:r>
            <w:fldChar w:fldCharType="separate"/>
          </w:r>
          <w:r>
            <w:rPr>
              <w:rStyle w:val="17"/>
            </w:rPr>
            <w:t>附录A</w:t>
          </w:r>
          <w:r>
            <w:rPr>
              <w:rStyle w:val="17"/>
              <w:rFonts w:hint="eastAsia"/>
            </w:rPr>
            <w:t>（资料性）</w:t>
          </w:r>
          <w:r>
            <w:rPr>
              <w:rStyle w:val="17"/>
            </w:rPr>
            <w:t>水务行业信息系统风险等级参考表</w:t>
          </w:r>
          <w:r>
            <w:tab/>
          </w:r>
          <w:r>
            <w:fldChar w:fldCharType="begin"/>
          </w:r>
          <w:r>
            <w:instrText xml:space="preserve"> PAGEREF _Toc207032565 \h </w:instrText>
          </w:r>
          <w:r>
            <w:fldChar w:fldCharType="separate"/>
          </w:r>
          <w:r>
            <w:t>18</w:t>
          </w:r>
          <w:r>
            <w:fldChar w:fldCharType="end"/>
          </w:r>
          <w:r>
            <w:fldChar w:fldCharType="end"/>
          </w:r>
        </w:p>
        <w:p w14:paraId="6F2C1CDF">
          <w:pPr>
            <w:pStyle w:val="11"/>
            <w:tabs>
              <w:tab w:val="right" w:leader="dot" w:pos="9344"/>
            </w:tabs>
            <w:rPr>
              <w:rFonts w:asciiTheme="minorHAnsi" w:hAnsiTheme="minorHAnsi" w:eastAsiaTheme="minorEastAsia" w:cstheme="minorBidi"/>
              <w:szCs w:val="22"/>
            </w:rPr>
          </w:pPr>
          <w:r>
            <w:fldChar w:fldCharType="begin"/>
          </w:r>
          <w:r>
            <w:instrText xml:space="preserve"> HYPERLINK \l "_Toc207032583" </w:instrText>
          </w:r>
          <w:r>
            <w:fldChar w:fldCharType="separate"/>
          </w:r>
          <w:r>
            <w:rPr>
              <w:rStyle w:val="17"/>
            </w:rPr>
            <w:t>附录B（资料性）水务行业数据分类分级表</w:t>
          </w:r>
          <w:r>
            <w:tab/>
          </w:r>
          <w:r>
            <w:fldChar w:fldCharType="begin"/>
          </w:r>
          <w:r>
            <w:instrText xml:space="preserve"> PAGEREF _Toc207032583 \h </w:instrText>
          </w:r>
          <w:r>
            <w:fldChar w:fldCharType="separate"/>
          </w:r>
          <w:r>
            <w:t>21</w:t>
          </w:r>
          <w:r>
            <w:fldChar w:fldCharType="end"/>
          </w:r>
          <w:r>
            <w:fldChar w:fldCharType="end"/>
          </w:r>
        </w:p>
        <w:p w14:paraId="6EDD18CF">
          <w:pPr>
            <w:pStyle w:val="11"/>
            <w:tabs>
              <w:tab w:val="right" w:leader="dot" w:pos="9344"/>
            </w:tabs>
            <w:rPr>
              <w:rFonts w:asciiTheme="minorHAnsi" w:hAnsiTheme="minorHAnsi" w:eastAsiaTheme="minorEastAsia" w:cstheme="minorBidi"/>
              <w:szCs w:val="22"/>
            </w:rPr>
          </w:pPr>
          <w:r>
            <w:fldChar w:fldCharType="begin"/>
          </w:r>
          <w:r>
            <w:instrText xml:space="preserve"> HYPERLINK \l "_Toc207032586" </w:instrText>
          </w:r>
          <w:r>
            <w:fldChar w:fldCharType="separate"/>
          </w:r>
          <w:r>
            <w:rPr>
              <w:rStyle w:val="17"/>
            </w:rPr>
            <w:t>附录C（资料性）安全应急预案模板</w:t>
          </w:r>
          <w:r>
            <w:tab/>
          </w:r>
          <w:r>
            <w:fldChar w:fldCharType="begin"/>
          </w:r>
          <w:r>
            <w:instrText xml:space="preserve"> PAGEREF _Toc207032586 \h </w:instrText>
          </w:r>
          <w:r>
            <w:fldChar w:fldCharType="separate"/>
          </w:r>
          <w:r>
            <w:t>23</w:t>
          </w:r>
          <w:r>
            <w:fldChar w:fldCharType="end"/>
          </w:r>
          <w:r>
            <w:fldChar w:fldCharType="end"/>
          </w:r>
        </w:p>
        <w:p w14:paraId="39328300">
          <w:pPr>
            <w:rPr>
              <w:rFonts w:ascii="宋体" w:hAnsi="宋体"/>
              <w:color w:val="000000" w:themeColor="text1"/>
              <w:szCs w:val="21"/>
              <w14:textFill>
                <w14:solidFill>
                  <w14:schemeClr w14:val="tx1"/>
                </w14:solidFill>
              </w14:textFill>
            </w:rPr>
          </w:pPr>
          <w:r>
            <w:rPr>
              <w:rFonts w:ascii="宋体" w:hAnsi="宋体"/>
              <w:bCs/>
              <w:color w:val="000000" w:themeColor="text1"/>
              <w:szCs w:val="21"/>
              <w:lang w:val="zh-CN"/>
              <w14:textFill>
                <w14:solidFill>
                  <w14:schemeClr w14:val="tx1"/>
                </w14:solidFill>
              </w14:textFill>
            </w:rPr>
            <w:fldChar w:fldCharType="end"/>
          </w:r>
        </w:p>
      </w:sdtContent>
    </w:sdt>
    <w:p w14:paraId="61D867C5">
      <w:pPr>
        <w:pStyle w:val="21"/>
        <w:tabs>
          <w:tab w:val="right" w:pos="9637"/>
        </w:tabs>
        <w:spacing w:before="851" w:after="680" w:line="240" w:lineRule="auto"/>
        <w:outlineLvl w:val="0"/>
        <w:rPr>
          <w:rFonts w:ascii="黑体" w:eastAsia="黑体"/>
          <w:color w:val="000000" w:themeColor="text1"/>
          <w:kern w:val="2"/>
          <w:sz w:val="32"/>
          <w:szCs w:val="32"/>
          <w14:textFill>
            <w14:solidFill>
              <w14:schemeClr w14:val="tx1"/>
            </w14:solidFill>
          </w14:textFill>
        </w:rPr>
        <w:sectPr>
          <w:headerReference r:id="rId9" w:type="default"/>
          <w:pgSz w:w="11906" w:h="16838"/>
          <w:pgMar w:top="1418" w:right="1418" w:bottom="1134" w:left="1134" w:header="1418" w:footer="992" w:gutter="0"/>
          <w:pgNumType w:fmt="upperRoman" w:start="1"/>
          <w:cols w:space="425" w:num="1"/>
          <w:docGrid w:type="lines" w:linePitch="312" w:charSpace="0"/>
        </w:sectPr>
      </w:pPr>
      <w:bookmarkStart w:id="0" w:name="_Toc156911437"/>
      <w:bookmarkStart w:id="1" w:name="_Toc24238"/>
    </w:p>
    <w:p w14:paraId="4611E96D">
      <w:pPr>
        <w:pStyle w:val="21"/>
        <w:tabs>
          <w:tab w:val="right" w:pos="9637"/>
        </w:tabs>
        <w:spacing w:before="851" w:after="680" w:line="240" w:lineRule="auto"/>
        <w:outlineLvl w:val="0"/>
        <w:rPr>
          <w:rFonts w:ascii="黑体" w:eastAsia="黑体"/>
          <w:color w:val="000000" w:themeColor="text1"/>
          <w:kern w:val="2"/>
          <w:sz w:val="32"/>
          <w:szCs w:val="32"/>
          <w14:textFill>
            <w14:solidFill>
              <w14:schemeClr w14:val="tx1"/>
            </w14:solidFill>
          </w14:textFill>
        </w:rPr>
      </w:pPr>
      <w:bookmarkStart w:id="2" w:name="_Toc207032517"/>
      <w:r>
        <w:rPr>
          <w:rFonts w:hint="eastAsia" w:ascii="黑体" w:eastAsia="黑体"/>
          <w:color w:val="000000" w:themeColor="text1"/>
          <w:kern w:val="2"/>
          <w:sz w:val="32"/>
          <w:szCs w:val="32"/>
          <w14:textFill>
            <w14:solidFill>
              <w14:schemeClr w14:val="tx1"/>
            </w14:solidFill>
          </w14:textFill>
        </w:rPr>
        <w:t>前  言</w:t>
      </w:r>
      <w:bookmarkEnd w:id="0"/>
      <w:bookmarkEnd w:id="1"/>
      <w:bookmarkEnd w:id="2"/>
    </w:p>
    <w:p w14:paraId="3834D3EA">
      <w:pPr>
        <w:adjustRightInd w:val="0"/>
        <w:snapToGrid w:val="0"/>
        <w:spacing w:line="360" w:lineRule="exact"/>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本文件按照GB/T 1.1-2020《标准化工作导则 第1部分：标准化文件的结构和起草规则》的规定起草。</w:t>
      </w:r>
    </w:p>
    <w:p w14:paraId="5DB27F43">
      <w:pPr>
        <w:adjustRightInd w:val="0"/>
        <w:snapToGrid w:val="0"/>
        <w:spacing w:line="360" w:lineRule="exact"/>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本文件由住房和城乡建设部标准定额研究所提出。</w:t>
      </w:r>
    </w:p>
    <w:p w14:paraId="23C92394">
      <w:pPr>
        <w:adjustRightInd w:val="0"/>
        <w:snapToGrid w:val="0"/>
        <w:spacing w:line="360" w:lineRule="exact"/>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本文件由住房和城乡建设部市政给水排水标准化技术委员会归口。</w:t>
      </w:r>
    </w:p>
    <w:p w14:paraId="7666B05E">
      <w:pPr>
        <w:adjustRightInd w:val="0"/>
        <w:snapToGrid w:val="0"/>
        <w:spacing w:line="360" w:lineRule="exact"/>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本文件起草单位：</w:t>
      </w:r>
      <w:r>
        <w:rPr>
          <w:rFonts w:ascii="宋体" w:hAnsi="宋体"/>
          <w:color w:val="000000" w:themeColor="text1"/>
          <w14:textFill>
            <w14:solidFill>
              <w14:schemeClr w14:val="tx1"/>
            </w14:solidFill>
          </w14:textFill>
        </w:rPr>
        <w:t xml:space="preserve"> </w:t>
      </w:r>
    </w:p>
    <w:p w14:paraId="5C88EA8D">
      <w:pPr>
        <w:adjustRightInd w:val="0"/>
        <w:snapToGrid w:val="0"/>
        <w:spacing w:line="360" w:lineRule="exact"/>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本文件主要起草人：</w:t>
      </w:r>
    </w:p>
    <w:p w14:paraId="0B9B0C5A">
      <w:pPr>
        <w:rPr>
          <w:color w:val="000000" w:themeColor="text1"/>
          <w14:textFill>
            <w14:solidFill>
              <w14:schemeClr w14:val="tx1"/>
            </w14:solidFill>
          </w14:textFill>
        </w:rPr>
      </w:pPr>
    </w:p>
    <w:p w14:paraId="5635861A">
      <w:pPr>
        <w:pStyle w:val="21"/>
        <w:tabs>
          <w:tab w:val="right" w:pos="9637"/>
        </w:tabs>
        <w:spacing w:before="851" w:after="680" w:line="240" w:lineRule="auto"/>
        <w:rPr>
          <w:rFonts w:ascii="黑体" w:eastAsia="黑体"/>
          <w:color w:val="000000" w:themeColor="text1"/>
          <w:kern w:val="2"/>
          <w:sz w:val="32"/>
          <w:szCs w:val="32"/>
          <w14:textFill>
            <w14:solidFill>
              <w14:schemeClr w14:val="tx1"/>
            </w14:solidFill>
          </w14:textFill>
        </w:rPr>
        <w:sectPr>
          <w:footerReference r:id="rId10" w:type="even"/>
          <w:pgSz w:w="11906" w:h="16838"/>
          <w:pgMar w:top="1418" w:right="1418" w:bottom="1134" w:left="1134" w:header="1418" w:footer="992" w:gutter="0"/>
          <w:pgNumType w:fmt="upperRoman"/>
          <w:cols w:space="425" w:num="1"/>
          <w:docGrid w:type="lines" w:linePitch="312" w:charSpace="0"/>
        </w:sectPr>
      </w:pPr>
    </w:p>
    <w:p w14:paraId="5E667021">
      <w:pPr>
        <w:pStyle w:val="21"/>
        <w:tabs>
          <w:tab w:val="right" w:pos="9637"/>
        </w:tabs>
        <w:spacing w:before="851" w:after="680" w:line="240" w:lineRule="auto"/>
        <w:rPr>
          <w:rFonts w:ascii="黑体" w:eastAsia="黑体"/>
          <w:color w:val="000000" w:themeColor="text1"/>
          <w:kern w:val="2"/>
          <w:sz w:val="32"/>
          <w:szCs w:val="32"/>
          <w14:textFill>
            <w14:solidFill>
              <w14:schemeClr w14:val="tx1"/>
            </w14:solidFill>
          </w14:textFill>
        </w:rPr>
      </w:pPr>
      <w:bookmarkStart w:id="3" w:name="OLE_LINK12"/>
      <w:r>
        <w:rPr>
          <w:rFonts w:hint="eastAsia" w:ascii="黑体" w:eastAsia="黑体"/>
          <w:color w:val="000000" w:themeColor="text1"/>
          <w:kern w:val="2"/>
          <w:sz w:val="32"/>
          <w:szCs w:val="32"/>
          <w14:textFill>
            <w14:solidFill>
              <w14:schemeClr w14:val="tx1"/>
            </w14:solidFill>
          </w14:textFill>
        </w:rPr>
        <w:t>城乡水务信息系统</w:t>
      </w:r>
      <w:bookmarkEnd w:id="3"/>
      <w:r>
        <w:rPr>
          <w:rFonts w:hint="eastAsia" w:ascii="黑体" w:eastAsia="黑体"/>
          <w:color w:val="000000" w:themeColor="text1"/>
          <w:kern w:val="2"/>
          <w:sz w:val="32"/>
          <w:szCs w:val="32"/>
          <w14:textFill>
            <w14:solidFill>
              <w14:schemeClr w14:val="tx1"/>
            </w14:solidFill>
          </w14:textFill>
        </w:rPr>
        <w:t>安全技术要求</w:t>
      </w:r>
    </w:p>
    <w:p w14:paraId="1AE89648">
      <w:pPr>
        <w:pStyle w:val="22"/>
        <w:numPr>
          <w:ilvl w:val="0"/>
          <w:numId w:val="2"/>
        </w:numPr>
        <w:spacing w:before="312" w:beforeLines="100" w:after="312" w:afterLines="100"/>
        <w:outlineLvl w:val="0"/>
        <w:rPr>
          <w:color w:val="000000" w:themeColor="text1"/>
          <w14:textFill>
            <w14:solidFill>
              <w14:schemeClr w14:val="tx1"/>
            </w14:solidFill>
          </w14:textFill>
        </w:rPr>
      </w:pPr>
      <w:bookmarkStart w:id="4" w:name="_Toc25768"/>
      <w:bookmarkStart w:id="5" w:name="_Toc6864"/>
      <w:bookmarkStart w:id="6" w:name="_Toc1583"/>
      <w:bookmarkStart w:id="7" w:name="_Toc2340"/>
      <w:bookmarkStart w:id="8" w:name="_Toc12811"/>
      <w:bookmarkStart w:id="9" w:name="_Toc29031"/>
      <w:bookmarkStart w:id="10" w:name="_Toc30102"/>
      <w:bookmarkStart w:id="11" w:name="_Toc8740"/>
      <w:bookmarkStart w:id="12" w:name="_Toc19506"/>
      <w:bookmarkStart w:id="13" w:name="_Toc12858"/>
      <w:bookmarkStart w:id="14" w:name="_Toc9049"/>
      <w:bookmarkStart w:id="15" w:name="_Toc23887"/>
      <w:bookmarkStart w:id="16" w:name="_Toc10417"/>
      <w:bookmarkStart w:id="17" w:name="_Toc10599"/>
      <w:bookmarkStart w:id="18" w:name="_Toc207032518"/>
      <w:bookmarkStart w:id="19" w:name="_Toc31628"/>
      <w:bookmarkStart w:id="20" w:name="_Toc156911438"/>
      <w:bookmarkStart w:id="21" w:name="_Toc5139"/>
      <w:bookmarkStart w:id="22" w:name="_Toc29480"/>
      <w:r>
        <w:rPr>
          <w:rFonts w:hint="eastAsia"/>
          <w:color w:val="000000" w:themeColor="text1"/>
          <w14:textFill>
            <w14:solidFill>
              <w14:schemeClr w14:val="tx1"/>
            </w14:solidFill>
          </w14:textFill>
        </w:rPr>
        <w:t>范围</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7D9F809">
      <w:pPr>
        <w:pStyle w:val="26"/>
        <w:ind w:firstLine="420"/>
        <w:rPr>
          <w:rFonts w:hAnsi="宋体"/>
          <w:color w:val="000000" w:themeColor="text1"/>
          <w:szCs w:val="21"/>
          <w14:textFill>
            <w14:solidFill>
              <w14:schemeClr w14:val="tx1"/>
            </w14:solidFill>
          </w14:textFill>
        </w:rPr>
      </w:pPr>
      <w:bookmarkStart w:id="23" w:name="_Toc89671947"/>
      <w:bookmarkStart w:id="24" w:name="_Toc89671768"/>
      <w:r>
        <w:rPr>
          <w:rFonts w:hint="eastAsia" w:hAnsi="宋体"/>
          <w:color w:val="000000" w:themeColor="text1"/>
          <w:szCs w:val="21"/>
          <w14:textFill>
            <w14:solidFill>
              <w14:schemeClr w14:val="tx1"/>
            </w14:solidFill>
          </w14:textFill>
        </w:rPr>
        <w:t>本文件规定了城乡水务信息系统安全的总体要求、要求和管理保障体系。</w:t>
      </w:r>
    </w:p>
    <w:p w14:paraId="300D4DBB">
      <w:pPr>
        <w:pStyle w:val="26"/>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本文件</w:t>
      </w:r>
      <w:bookmarkEnd w:id="23"/>
      <w:bookmarkEnd w:id="24"/>
      <w:r>
        <w:rPr>
          <w:rFonts w:hint="eastAsia" w:hAnsi="宋体"/>
          <w:color w:val="000000" w:themeColor="text1"/>
          <w:szCs w:val="21"/>
          <w14:textFill>
            <w14:solidFill>
              <w14:schemeClr w14:val="tx1"/>
            </w14:solidFill>
          </w14:textFill>
        </w:rPr>
        <w:t>适用于城乡水务领域的信息系统建设与运维安全工作。</w:t>
      </w:r>
    </w:p>
    <w:p w14:paraId="096BDE52">
      <w:pPr>
        <w:pStyle w:val="22"/>
        <w:numPr>
          <w:ilvl w:val="0"/>
          <w:numId w:val="2"/>
        </w:numPr>
        <w:spacing w:before="312" w:beforeLines="100" w:after="312" w:afterLines="100"/>
        <w:outlineLvl w:val="0"/>
        <w:rPr>
          <w:color w:val="000000" w:themeColor="text1"/>
          <w14:textFill>
            <w14:solidFill>
              <w14:schemeClr w14:val="tx1"/>
            </w14:solidFill>
          </w14:textFill>
        </w:rPr>
      </w:pPr>
      <w:bookmarkStart w:id="25" w:name="_Toc23675"/>
      <w:bookmarkStart w:id="26" w:name="_Toc16883"/>
      <w:bookmarkStart w:id="27" w:name="_Toc26027"/>
      <w:bookmarkStart w:id="28" w:name="_Toc28175"/>
      <w:bookmarkStart w:id="29" w:name="_Toc4334"/>
      <w:bookmarkStart w:id="30" w:name="_Toc5419"/>
      <w:bookmarkStart w:id="31" w:name="_Toc4467"/>
      <w:bookmarkStart w:id="32" w:name="_Toc2677"/>
      <w:bookmarkStart w:id="33" w:name="_Toc25253"/>
      <w:bookmarkStart w:id="34" w:name="_Toc7166"/>
      <w:bookmarkStart w:id="35" w:name="_Toc3194"/>
      <w:bookmarkStart w:id="36" w:name="_Toc20457"/>
      <w:bookmarkStart w:id="37" w:name="_Toc2027"/>
      <w:bookmarkStart w:id="38" w:name="_Toc156911439"/>
      <w:bookmarkStart w:id="39" w:name="_Toc207032519"/>
      <w:bookmarkStart w:id="40" w:name="_Toc19860"/>
      <w:bookmarkStart w:id="41" w:name="_Toc13648"/>
      <w:bookmarkStart w:id="42" w:name="_Toc4074"/>
      <w:bookmarkStart w:id="43" w:name="_Toc18393"/>
      <w:bookmarkStart w:id="44" w:name="_Toc1957"/>
      <w:bookmarkStart w:id="45" w:name="_Toc30142"/>
      <w:bookmarkStart w:id="46" w:name="_Toc15394"/>
      <w:bookmarkStart w:id="47" w:name="_Toc15958"/>
      <w:bookmarkStart w:id="48" w:name="_Toc5296"/>
      <w:bookmarkStart w:id="49" w:name="_Toc10589"/>
      <w:r>
        <w:rPr>
          <w:rFonts w:hint="eastAsia"/>
          <w:color w:val="000000" w:themeColor="text1"/>
          <w14:textFill>
            <w14:solidFill>
              <w14:schemeClr w14:val="tx1"/>
            </w14:solidFill>
          </w14:textFill>
        </w:rPr>
        <w:t>规范性引用文件</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3CAC09">
      <w:pPr>
        <w:pStyle w:val="26"/>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4A08A3E">
      <w:pPr>
        <w:pStyle w:val="26"/>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GB/T 22239 信息安全技术 网络安全等级保护基本要求</w:t>
      </w:r>
    </w:p>
    <w:p w14:paraId="2DE45679">
      <w:pPr>
        <w:pStyle w:val="26"/>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GB/T 22240 信息安全技术 信息系统安全等级保护定级指南</w:t>
      </w:r>
    </w:p>
    <w:p w14:paraId="2BD633A7">
      <w:pPr>
        <w:pStyle w:val="26"/>
        <w:ind w:firstLine="420"/>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 xml:space="preserve">GB/T 28448 </w:t>
      </w:r>
      <w:r>
        <w:rPr>
          <w:rFonts w:hint="eastAsia" w:hAnsi="宋体"/>
          <w:color w:val="000000" w:themeColor="text1"/>
          <w:szCs w:val="21"/>
          <w14:textFill>
            <w14:solidFill>
              <w14:schemeClr w14:val="tx1"/>
            </w14:solidFill>
          </w14:textFill>
        </w:rPr>
        <w:t>信息安全技术 网络安全等级保护测评要求</w:t>
      </w:r>
    </w:p>
    <w:p w14:paraId="53886363">
      <w:pPr>
        <w:pStyle w:val="26"/>
        <w:ind w:firstLine="420"/>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 xml:space="preserve">GB/T 43697 </w:t>
      </w:r>
      <w:r>
        <w:rPr>
          <w:rFonts w:hint="eastAsia" w:hAnsi="宋体"/>
          <w:color w:val="000000" w:themeColor="text1"/>
          <w:szCs w:val="21"/>
          <w14:textFill>
            <w14:solidFill>
              <w14:schemeClr w14:val="tx1"/>
            </w14:solidFill>
          </w14:textFill>
        </w:rPr>
        <w:t>数据安全技术 数据分类分级规则</w:t>
      </w:r>
    </w:p>
    <w:p w14:paraId="32599F03">
      <w:pPr>
        <w:pStyle w:val="26"/>
        <w:ind w:firstLine="420"/>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 xml:space="preserve">GB 50174 </w:t>
      </w:r>
      <w:r>
        <w:rPr>
          <w:rFonts w:hint="eastAsia" w:hAnsi="宋体"/>
          <w:color w:val="000000" w:themeColor="text1"/>
          <w:szCs w:val="21"/>
          <w14:textFill>
            <w14:solidFill>
              <w14:schemeClr w14:val="tx1"/>
            </w14:solidFill>
          </w14:textFill>
        </w:rPr>
        <w:t>电子信息系统机房设计规范</w:t>
      </w:r>
    </w:p>
    <w:p w14:paraId="33360BF5">
      <w:pPr>
        <w:pStyle w:val="22"/>
        <w:numPr>
          <w:ilvl w:val="0"/>
          <w:numId w:val="2"/>
        </w:numPr>
        <w:spacing w:before="312" w:beforeLines="100" w:after="312" w:afterLines="100"/>
        <w:outlineLvl w:val="0"/>
        <w:rPr>
          <w:color w:val="000000" w:themeColor="text1"/>
          <w14:textFill>
            <w14:solidFill>
              <w14:schemeClr w14:val="tx1"/>
            </w14:solidFill>
          </w14:textFill>
        </w:rPr>
      </w:pPr>
      <w:bookmarkStart w:id="50" w:name="_Toc31229"/>
      <w:bookmarkStart w:id="51" w:name="_Toc11571"/>
      <w:bookmarkStart w:id="52" w:name="_Toc29434"/>
      <w:bookmarkStart w:id="53" w:name="_Toc3374"/>
      <w:bookmarkStart w:id="54" w:name="_Toc3238"/>
      <w:bookmarkStart w:id="55" w:name="_Toc16611"/>
      <w:bookmarkStart w:id="56" w:name="_Toc6744"/>
      <w:bookmarkStart w:id="57" w:name="_Toc20576"/>
      <w:bookmarkStart w:id="58" w:name="_Toc17394"/>
      <w:bookmarkStart w:id="59" w:name="_Toc5839"/>
      <w:bookmarkStart w:id="60" w:name="_Toc7529"/>
      <w:bookmarkStart w:id="61" w:name="_Toc16515"/>
      <w:bookmarkStart w:id="62" w:name="_Toc4127"/>
      <w:bookmarkStart w:id="63" w:name="_Toc22129"/>
      <w:bookmarkStart w:id="64" w:name="_Toc1641"/>
      <w:bookmarkStart w:id="65" w:name="_Toc18271"/>
      <w:bookmarkStart w:id="66" w:name="_Toc18932"/>
      <w:bookmarkStart w:id="67" w:name="_Toc5037"/>
      <w:bookmarkStart w:id="68" w:name="_Toc156911440"/>
      <w:bookmarkStart w:id="69" w:name="_Toc16582"/>
      <w:bookmarkStart w:id="70" w:name="_Toc1271"/>
      <w:bookmarkStart w:id="71" w:name="_Toc16009"/>
      <w:bookmarkStart w:id="72" w:name="_Toc6676"/>
      <w:bookmarkStart w:id="73" w:name="_Toc10069"/>
      <w:bookmarkStart w:id="74" w:name="_Toc25706"/>
      <w:bookmarkStart w:id="75" w:name="_Toc207032520"/>
      <w:r>
        <w:rPr>
          <w:rFonts w:hint="eastAsia"/>
          <w:color w:val="000000" w:themeColor="text1"/>
          <w14:textFill>
            <w14:solidFill>
              <w14:schemeClr w14:val="tx1"/>
            </w14:solidFill>
          </w14:textFill>
        </w:rPr>
        <w:t>术语</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rFonts w:hint="eastAsia"/>
          <w:color w:val="000000" w:themeColor="text1"/>
          <w14:textFill>
            <w14:solidFill>
              <w14:schemeClr w14:val="tx1"/>
            </w14:solidFill>
          </w14:textFill>
        </w:rPr>
        <w:t>和定义</w:t>
      </w:r>
      <w:bookmarkEnd w:id="75"/>
    </w:p>
    <w:p w14:paraId="3B7595FD">
      <w:pPr>
        <w:tabs>
          <w:tab w:val="left" w:pos="540"/>
        </w:tabs>
        <w:spacing w:line="24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 25069、GB/T 32919界定的下列术语和定义适用于本标准</w:t>
      </w:r>
    </w:p>
    <w:p w14:paraId="2907D88A">
      <w:pPr>
        <w:spacing w:before="156" w:beforeLines="50" w:after="156" w:afterLines="50" w:line="24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3</w:t>
      </w:r>
      <w:r>
        <w:rPr>
          <w:rFonts w:ascii="黑体" w:hAnsi="黑体" w:eastAsia="黑体"/>
          <w:color w:val="000000" w:themeColor="text1"/>
          <w:szCs w:val="21"/>
          <w14:textFill>
            <w14:solidFill>
              <w14:schemeClr w14:val="tx1"/>
            </w14:solidFill>
          </w14:textFill>
        </w:rPr>
        <w:t>.1</w:t>
      </w:r>
    </w:p>
    <w:p w14:paraId="2D0AE081">
      <w:pPr>
        <w:tabs>
          <w:tab w:val="left" w:pos="540"/>
        </w:tabs>
        <w:spacing w:line="240" w:lineRule="auto"/>
        <w:ind w:firstLine="422" w:firstLineChars="200"/>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 xml:space="preserve">城乡水务 </w:t>
      </w:r>
      <w:r>
        <w:rPr>
          <w:rFonts w:ascii="宋体" w:hAnsi="宋体"/>
          <w:b/>
          <w:bCs/>
          <w:color w:val="000000" w:themeColor="text1"/>
          <w:szCs w:val="21"/>
          <w14:textFill>
            <w14:solidFill>
              <w14:schemeClr w14:val="tx1"/>
            </w14:solidFill>
          </w14:textFill>
        </w:rPr>
        <w:t>urban and rural water management</w:t>
      </w:r>
    </w:p>
    <w:p w14:paraId="15537B73">
      <w:pPr>
        <w:tabs>
          <w:tab w:val="left" w:pos="540"/>
        </w:tabs>
        <w:spacing w:line="24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为城镇和农村地区提供水资源管理、供水、排水、污水处理、再生水等水务服务的行业。</w:t>
      </w:r>
    </w:p>
    <w:p w14:paraId="3EB3A24D">
      <w:pPr>
        <w:spacing w:before="156" w:beforeLines="50" w:after="156" w:afterLines="50" w:line="24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3.</w:t>
      </w:r>
      <w:r>
        <w:rPr>
          <w:rFonts w:ascii="黑体" w:hAnsi="黑体" w:eastAsia="黑体"/>
          <w:color w:val="000000" w:themeColor="text1"/>
          <w:szCs w:val="21"/>
          <w14:textFill>
            <w14:solidFill>
              <w14:schemeClr w14:val="tx1"/>
            </w14:solidFill>
          </w14:textFill>
        </w:rPr>
        <w:t>2</w:t>
      </w:r>
    </w:p>
    <w:p w14:paraId="0C662E4E">
      <w:pPr>
        <w:tabs>
          <w:tab w:val="left" w:pos="540"/>
        </w:tabs>
        <w:spacing w:line="240" w:lineRule="auto"/>
        <w:ind w:firstLine="422" w:firstLineChars="200"/>
        <w:jc w:val="left"/>
        <w:rPr>
          <w:rFonts w:ascii="宋体" w:hAnsi="宋体"/>
          <w:b/>
          <w:bCs/>
          <w:color w:val="000000" w:themeColor="text1"/>
          <w:szCs w:val="21"/>
          <w14:textFill>
            <w14:solidFill>
              <w14:schemeClr w14:val="tx1"/>
            </w14:solidFill>
          </w14:textFill>
        </w:rPr>
      </w:pPr>
      <w:bookmarkStart w:id="76" w:name="_Toc300650888"/>
      <w:bookmarkStart w:id="77" w:name="_Toc300651192"/>
      <w:bookmarkStart w:id="78" w:name="_Toc301164844"/>
      <w:r>
        <w:rPr>
          <w:rFonts w:hint="eastAsia" w:ascii="宋体" w:hAnsi="宋体"/>
          <w:b/>
          <w:bCs/>
          <w:color w:val="000000" w:themeColor="text1"/>
          <w:szCs w:val="21"/>
          <w14:textFill>
            <w14:solidFill>
              <w14:schemeClr w14:val="tx1"/>
            </w14:solidFill>
          </w14:textFill>
        </w:rPr>
        <w:t>信息系统 information systems</w:t>
      </w:r>
    </w:p>
    <w:p w14:paraId="470B2101">
      <w:pPr>
        <w:tabs>
          <w:tab w:val="left" w:pos="540"/>
        </w:tabs>
        <w:spacing w:line="24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用于采集、处理、存储、传输，分发和部署信息的基础设施、组织结构、人员和组件的总和。</w:t>
      </w:r>
    </w:p>
    <w:p w14:paraId="10FE05D2">
      <w:pPr>
        <w:spacing w:before="156" w:beforeLines="50" w:after="156" w:afterLines="50" w:line="24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3.</w:t>
      </w:r>
      <w:r>
        <w:rPr>
          <w:rFonts w:ascii="黑体" w:hAnsi="黑体" w:eastAsia="黑体"/>
          <w:color w:val="000000" w:themeColor="text1"/>
          <w:szCs w:val="21"/>
          <w14:textFill>
            <w14:solidFill>
              <w14:schemeClr w14:val="tx1"/>
            </w14:solidFill>
          </w14:textFill>
        </w:rPr>
        <w:t>3</w:t>
      </w:r>
    </w:p>
    <w:bookmarkEnd w:id="76"/>
    <w:bookmarkEnd w:id="77"/>
    <w:bookmarkEnd w:id="78"/>
    <w:p w14:paraId="7C3216B0">
      <w:pPr>
        <w:tabs>
          <w:tab w:val="left" w:pos="540"/>
        </w:tabs>
        <w:spacing w:line="240" w:lineRule="auto"/>
        <w:ind w:firstLine="422" w:firstLineChars="200"/>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信息系统安全information systems</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security</w:t>
      </w:r>
    </w:p>
    <w:p w14:paraId="289D5021">
      <w:pPr>
        <w:tabs>
          <w:tab w:val="left" w:pos="540"/>
        </w:tabs>
        <w:spacing w:line="24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通过使用合理的安全控制措施保护在存储、处理或传输等过程中的信息不被未授权用户访问并保证授权用户能够正常使用系统。</w:t>
      </w:r>
    </w:p>
    <w:p w14:paraId="3617D4EF">
      <w:pPr>
        <w:spacing w:before="156" w:beforeLines="50" w:after="156" w:afterLines="50" w:line="24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3.</w:t>
      </w:r>
      <w:r>
        <w:rPr>
          <w:rFonts w:ascii="黑体" w:hAnsi="黑体" w:eastAsia="黑体"/>
          <w:color w:val="000000" w:themeColor="text1"/>
          <w:szCs w:val="21"/>
          <w14:textFill>
            <w14:solidFill>
              <w14:schemeClr w14:val="tx1"/>
            </w14:solidFill>
          </w14:textFill>
        </w:rPr>
        <w:t>4</w:t>
      </w:r>
    </w:p>
    <w:p w14:paraId="4B50B196">
      <w:pPr>
        <w:tabs>
          <w:tab w:val="left" w:pos="540"/>
        </w:tabs>
        <w:spacing w:line="240" w:lineRule="auto"/>
        <w:ind w:firstLine="422" w:firstLineChars="200"/>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授权authentication</w:t>
      </w:r>
    </w:p>
    <w:p w14:paraId="71B99C62">
      <w:pPr>
        <w:tabs>
          <w:tab w:val="left" w:pos="540"/>
        </w:tabs>
        <w:spacing w:line="24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授予权限，包括允许基于访问权的访问。</w:t>
      </w:r>
    </w:p>
    <w:p w14:paraId="78B15415">
      <w:pPr>
        <w:spacing w:before="156" w:beforeLines="50" w:after="156" w:afterLines="50" w:line="24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3.5</w:t>
      </w:r>
    </w:p>
    <w:p w14:paraId="45F3ACD4">
      <w:pPr>
        <w:tabs>
          <w:tab w:val="left" w:pos="540"/>
        </w:tabs>
        <w:spacing w:line="240" w:lineRule="auto"/>
        <w:ind w:firstLine="422" w:firstLineChars="200"/>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网络安全 cybersecurity</w:t>
      </w:r>
    </w:p>
    <w:p w14:paraId="303A1CF4">
      <w:pPr>
        <w:tabs>
          <w:tab w:val="left" w:pos="540"/>
        </w:tabs>
        <w:spacing w:line="24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通过采取必要措施，防范对网络的攻击、侵入、干扰、破坏和非法使用以及意外事故，使网络处于稳定可靠运行的状态，并保障网络数据的完整性、保密性、可用性的能力。</w:t>
      </w:r>
    </w:p>
    <w:p w14:paraId="4075919C">
      <w:pPr>
        <w:spacing w:before="156" w:beforeLines="50" w:after="156" w:afterLines="50" w:line="24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3.</w:t>
      </w:r>
      <w:bookmarkStart w:id="79" w:name="_Toc468801407"/>
      <w:bookmarkStart w:id="80" w:name="_Toc468804515"/>
      <w:r>
        <w:rPr>
          <w:rFonts w:hint="eastAsia" w:ascii="黑体" w:hAnsi="黑体" w:eastAsia="黑体"/>
          <w:color w:val="000000" w:themeColor="text1"/>
          <w:szCs w:val="21"/>
          <w14:textFill>
            <w14:solidFill>
              <w14:schemeClr w14:val="tx1"/>
            </w14:solidFill>
          </w14:textFill>
        </w:rPr>
        <w:t>6</w:t>
      </w:r>
    </w:p>
    <w:p w14:paraId="795FE6C2">
      <w:pPr>
        <w:tabs>
          <w:tab w:val="left" w:pos="540"/>
        </w:tabs>
        <w:spacing w:line="240" w:lineRule="auto"/>
        <w:ind w:firstLine="422" w:firstLineChars="200"/>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风险评估 risk assessment</w:t>
      </w:r>
      <w:bookmarkEnd w:id="79"/>
      <w:bookmarkEnd w:id="80"/>
    </w:p>
    <w:p w14:paraId="6F249F8D">
      <w:pPr>
        <w:tabs>
          <w:tab w:val="left" w:pos="540"/>
        </w:tabs>
        <w:spacing w:line="24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针对安全性以及对可靠操作的连续性造成风险的安全问题进行评估的过程。</w:t>
      </w:r>
    </w:p>
    <w:p w14:paraId="6B09E6D2">
      <w:pPr>
        <w:spacing w:before="156" w:beforeLines="50" w:after="156" w:afterLines="50" w:line="24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3.7</w:t>
      </w:r>
    </w:p>
    <w:p w14:paraId="75E8F734">
      <w:pPr>
        <w:tabs>
          <w:tab w:val="left" w:pos="540"/>
        </w:tabs>
        <w:spacing w:line="240" w:lineRule="auto"/>
        <w:ind w:firstLine="422" w:firstLineChars="200"/>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信创 application innovation of information technology</w:t>
      </w:r>
    </w:p>
    <w:p w14:paraId="05607BE8">
      <w:pPr>
        <w:tabs>
          <w:tab w:val="left" w:pos="540"/>
        </w:tabs>
        <w:spacing w:line="24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为保障国家信息安全，实现信息技术领域的自主可控而开展的信息技术应用创新过程。</w:t>
      </w:r>
    </w:p>
    <w:p w14:paraId="2D566863">
      <w:pPr>
        <w:pStyle w:val="22"/>
        <w:numPr>
          <w:ilvl w:val="1"/>
          <w:numId w:val="0"/>
        </w:numPr>
        <w:spacing w:before="312" w:beforeLines="100" w:after="312" w:afterLines="100"/>
        <w:outlineLvl w:val="0"/>
        <w:rPr>
          <w:color w:val="000000" w:themeColor="text1"/>
          <w14:textFill>
            <w14:solidFill>
              <w14:schemeClr w14:val="tx1"/>
            </w14:solidFill>
          </w14:textFill>
        </w:rPr>
      </w:pPr>
      <w:bookmarkStart w:id="81" w:name="_Toc207032521"/>
      <w:r>
        <w:rPr>
          <w:rFonts w:hint="eastAsia"/>
          <w:color w:val="000000" w:themeColor="text1"/>
          <w14:textFill>
            <w14:solidFill>
              <w14:schemeClr w14:val="tx1"/>
            </w14:solidFill>
          </w14:textFill>
        </w:rPr>
        <w:t>4 缩略语</w:t>
      </w:r>
      <w:bookmarkEnd w:id="81"/>
    </w:p>
    <w:p w14:paraId="06CF0552">
      <w:pPr>
        <w:tabs>
          <w:tab w:val="left" w:pos="540"/>
        </w:tabs>
        <w:spacing w:line="240" w:lineRule="auto"/>
        <w:ind w:firstLine="422" w:firstLineChars="200"/>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下列缩略语适用于本文件。</w:t>
      </w:r>
    </w:p>
    <w:p w14:paraId="4F0BCE7D">
      <w:pPr>
        <w:tabs>
          <w:tab w:val="left" w:pos="540"/>
        </w:tabs>
        <w:spacing w:line="24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DDoS: 拒绝服务(Distributed Denial of Service)</w:t>
      </w:r>
    </w:p>
    <w:p w14:paraId="12FD77FD">
      <w:pPr>
        <w:tabs>
          <w:tab w:val="left" w:pos="540"/>
        </w:tabs>
        <w:spacing w:line="24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ICS: 工业控制系统(Industrial Control System)</w:t>
      </w:r>
    </w:p>
    <w:p w14:paraId="20F0F1F0">
      <w:pPr>
        <w:tabs>
          <w:tab w:val="left" w:pos="540"/>
        </w:tabs>
        <w:spacing w:line="24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PLC: 可编程逻辑控制器(Programmable Logic Controller)</w:t>
      </w:r>
    </w:p>
    <w:p w14:paraId="0C6B0A0E">
      <w:pPr>
        <w:tabs>
          <w:tab w:val="left" w:pos="540"/>
        </w:tabs>
        <w:spacing w:line="24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T</w:t>
      </w:r>
      <w:r>
        <w:rPr>
          <w:rFonts w:ascii="宋体" w:hAnsi="宋体"/>
          <w:color w:val="000000" w:themeColor="text1"/>
          <w:szCs w:val="21"/>
          <w14:textFill>
            <w14:solidFill>
              <w14:schemeClr w14:val="tx1"/>
            </w14:solidFill>
          </w14:textFill>
        </w:rPr>
        <w:t>LS</w:t>
      </w:r>
      <w:r>
        <w:rPr>
          <w:rFonts w:hint="eastAsia" w:ascii="宋体" w:hAnsi="宋体"/>
          <w:color w:val="000000" w:themeColor="text1"/>
          <w:szCs w:val="21"/>
          <w14:textFill>
            <w14:solidFill>
              <w14:schemeClr w14:val="tx1"/>
            </w14:solidFill>
          </w14:textFill>
        </w:rPr>
        <w:t>：传输层安全协议（Transport Layer Security）</w:t>
      </w:r>
    </w:p>
    <w:p w14:paraId="2F2981D7">
      <w:pPr>
        <w:tabs>
          <w:tab w:val="left" w:pos="540"/>
        </w:tabs>
        <w:spacing w:line="24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RBAC：基于角色的访问控制（Role-based Access Control）</w:t>
      </w:r>
    </w:p>
    <w:p w14:paraId="64440628">
      <w:pPr>
        <w:tabs>
          <w:tab w:val="left" w:pos="540"/>
        </w:tabs>
        <w:spacing w:line="240" w:lineRule="auto"/>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SQL</w:t>
      </w:r>
      <w:r>
        <w:rPr>
          <w:rFonts w:hint="eastAsia" w:ascii="宋体" w:hAnsi="宋体"/>
          <w:color w:val="000000" w:themeColor="text1"/>
          <w:szCs w:val="21"/>
          <w14:textFill>
            <w14:solidFill>
              <w14:schemeClr w14:val="tx1"/>
            </w14:solidFill>
          </w14:textFill>
        </w:rPr>
        <w:t>：结构化查询语言（</w:t>
      </w:r>
      <w:r>
        <w:rPr>
          <w:rFonts w:ascii="宋体" w:hAnsi="宋体"/>
          <w:color w:val="000000" w:themeColor="text1"/>
          <w:szCs w:val="21"/>
          <w14:textFill>
            <w14:solidFill>
              <w14:schemeClr w14:val="tx1"/>
            </w14:solidFill>
          </w14:textFill>
        </w:rPr>
        <w:t>Structured Query Language</w:t>
      </w:r>
      <w:r>
        <w:rPr>
          <w:rFonts w:hint="eastAsia" w:ascii="宋体" w:hAnsi="宋体"/>
          <w:color w:val="000000" w:themeColor="text1"/>
          <w:szCs w:val="21"/>
          <w14:textFill>
            <w14:solidFill>
              <w14:schemeClr w14:val="tx1"/>
            </w14:solidFill>
          </w14:textFill>
        </w:rPr>
        <w:t>）</w:t>
      </w:r>
    </w:p>
    <w:p w14:paraId="18FB31DC">
      <w:pPr>
        <w:tabs>
          <w:tab w:val="left" w:pos="540"/>
        </w:tabs>
        <w:spacing w:line="240" w:lineRule="auto"/>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ReDOS</w:t>
      </w:r>
      <w:r>
        <w:rPr>
          <w:rFonts w:hint="eastAsia" w:ascii="宋体" w:hAnsi="宋体"/>
          <w:color w:val="000000" w:themeColor="text1"/>
          <w:szCs w:val="21"/>
          <w14:textFill>
            <w14:solidFill>
              <w14:schemeClr w14:val="tx1"/>
            </w14:solidFill>
          </w14:textFill>
        </w:rPr>
        <w:t>：正则表达式拒绝服务攻击（</w:t>
      </w:r>
      <w:r>
        <w:rPr>
          <w:rFonts w:ascii="宋体" w:hAnsi="宋体"/>
          <w:color w:val="000000" w:themeColor="text1"/>
          <w:szCs w:val="21"/>
          <w14:textFill>
            <w14:solidFill>
              <w14:schemeClr w14:val="tx1"/>
            </w14:solidFill>
          </w14:textFill>
        </w:rPr>
        <w:t>Regular Description Denial of Service</w:t>
      </w:r>
      <w:r>
        <w:rPr>
          <w:rFonts w:hint="eastAsia" w:ascii="宋体" w:hAnsi="宋体"/>
          <w:color w:val="000000" w:themeColor="text1"/>
          <w:szCs w:val="21"/>
          <w14:textFill>
            <w14:solidFill>
              <w14:schemeClr w14:val="tx1"/>
            </w14:solidFill>
          </w14:textFill>
        </w:rPr>
        <w:t>）</w:t>
      </w:r>
    </w:p>
    <w:p w14:paraId="261F0B90">
      <w:pPr>
        <w:tabs>
          <w:tab w:val="left" w:pos="540"/>
        </w:tabs>
        <w:spacing w:line="240" w:lineRule="auto"/>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CSS</w:t>
      </w:r>
      <w:r>
        <w:rPr>
          <w:rFonts w:hint="eastAsia" w:ascii="宋体" w:hAnsi="宋体"/>
          <w:color w:val="000000" w:themeColor="text1"/>
          <w:szCs w:val="21"/>
          <w14:textFill>
            <w14:solidFill>
              <w14:schemeClr w14:val="tx1"/>
            </w14:solidFill>
          </w14:textFill>
        </w:rPr>
        <w:t>：跨站脚本攻击（</w:t>
      </w:r>
      <w:r>
        <w:rPr>
          <w:rFonts w:ascii="宋体" w:hAnsi="宋体"/>
          <w:color w:val="000000" w:themeColor="text1"/>
          <w:szCs w:val="21"/>
          <w14:textFill>
            <w14:solidFill>
              <w14:schemeClr w14:val="tx1"/>
            </w14:solidFill>
          </w14:textFill>
        </w:rPr>
        <w:t>Cross-Site Scripting</w:t>
      </w:r>
      <w:r>
        <w:rPr>
          <w:rFonts w:hint="eastAsia" w:ascii="宋体" w:hAnsi="宋体"/>
          <w:color w:val="000000" w:themeColor="text1"/>
          <w:szCs w:val="21"/>
          <w14:textFill>
            <w14:solidFill>
              <w14:schemeClr w14:val="tx1"/>
            </w14:solidFill>
          </w14:textFill>
        </w:rPr>
        <w:t>）</w:t>
      </w:r>
    </w:p>
    <w:p w14:paraId="5CA13AFC">
      <w:pPr>
        <w:tabs>
          <w:tab w:val="left" w:pos="540"/>
        </w:tabs>
        <w:spacing w:line="240" w:lineRule="auto"/>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CSRF</w:t>
      </w:r>
      <w:r>
        <w:rPr>
          <w:rFonts w:hint="eastAsia" w:ascii="宋体" w:hAnsi="宋体"/>
          <w:color w:val="000000" w:themeColor="text1"/>
          <w:szCs w:val="21"/>
          <w14:textFill>
            <w14:solidFill>
              <w14:schemeClr w14:val="tx1"/>
            </w14:solidFill>
          </w14:textFill>
        </w:rPr>
        <w:t>：跨站请求伪造（</w:t>
      </w:r>
      <w:r>
        <w:rPr>
          <w:rFonts w:ascii="宋体" w:hAnsi="宋体"/>
          <w:color w:val="000000" w:themeColor="text1"/>
          <w:szCs w:val="21"/>
          <w14:textFill>
            <w14:solidFill>
              <w14:schemeClr w14:val="tx1"/>
            </w14:solidFill>
          </w14:textFill>
        </w:rPr>
        <w:t>Cross-Site Request Forgery</w:t>
      </w:r>
      <w:r>
        <w:rPr>
          <w:rFonts w:hint="eastAsia" w:ascii="宋体" w:hAnsi="宋体"/>
          <w:color w:val="000000" w:themeColor="text1"/>
          <w:szCs w:val="21"/>
          <w14:textFill>
            <w14:solidFill>
              <w14:schemeClr w14:val="tx1"/>
            </w14:solidFill>
          </w14:textFill>
        </w:rPr>
        <w:t>）</w:t>
      </w:r>
    </w:p>
    <w:p w14:paraId="28DEE302">
      <w:pPr>
        <w:tabs>
          <w:tab w:val="left" w:pos="540"/>
        </w:tabs>
        <w:spacing w:line="24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U</w:t>
      </w:r>
      <w:r>
        <w:rPr>
          <w:rFonts w:ascii="宋体" w:hAnsi="宋体"/>
          <w:color w:val="000000" w:themeColor="text1"/>
          <w:szCs w:val="21"/>
          <w14:textFill>
            <w14:solidFill>
              <w14:schemeClr w14:val="tx1"/>
            </w14:solidFill>
          </w14:textFill>
        </w:rPr>
        <w:t>PS</w:t>
      </w:r>
      <w:r>
        <w:rPr>
          <w:rFonts w:hint="eastAsia" w:ascii="宋体" w:hAnsi="宋体"/>
          <w:color w:val="000000" w:themeColor="text1"/>
          <w:szCs w:val="21"/>
          <w14:textFill>
            <w14:solidFill>
              <w14:schemeClr w14:val="tx1"/>
            </w14:solidFill>
          </w14:textFill>
        </w:rPr>
        <w:t>：不间断电源（</w:t>
      </w:r>
      <w:r>
        <w:rPr>
          <w:rFonts w:ascii="宋体" w:hAnsi="宋体"/>
          <w:color w:val="000000" w:themeColor="text1"/>
          <w:szCs w:val="21"/>
          <w14:textFill>
            <w14:solidFill>
              <w14:schemeClr w14:val="tx1"/>
            </w14:solidFill>
          </w14:textFill>
        </w:rPr>
        <w:t>Uninterruptible Power Supply</w:t>
      </w:r>
      <w:r>
        <w:rPr>
          <w:rFonts w:hint="eastAsia" w:ascii="宋体" w:hAnsi="宋体"/>
          <w:color w:val="000000" w:themeColor="text1"/>
          <w:szCs w:val="21"/>
          <w14:textFill>
            <w14:solidFill>
              <w14:schemeClr w14:val="tx1"/>
            </w14:solidFill>
          </w14:textFill>
        </w:rPr>
        <w:t>）</w:t>
      </w:r>
    </w:p>
    <w:p w14:paraId="54383EDE">
      <w:pPr>
        <w:tabs>
          <w:tab w:val="left" w:pos="540"/>
        </w:tabs>
        <w:spacing w:line="240" w:lineRule="auto"/>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IDEA</w:t>
      </w:r>
      <w:r>
        <w:rPr>
          <w:rFonts w:hint="eastAsia" w:ascii="宋体" w:hAnsi="宋体"/>
          <w:color w:val="000000" w:themeColor="text1"/>
          <w:szCs w:val="21"/>
          <w14:textFill>
            <w14:solidFill>
              <w14:schemeClr w14:val="tx1"/>
            </w14:solidFill>
          </w14:textFill>
        </w:rPr>
        <w:t>：国际数据加密算法（</w:t>
      </w:r>
      <w:r>
        <w:rPr>
          <w:rFonts w:ascii="宋体" w:hAnsi="宋体"/>
          <w:color w:val="000000" w:themeColor="text1"/>
          <w:szCs w:val="21"/>
          <w14:textFill>
            <w14:solidFill>
              <w14:schemeClr w14:val="tx1"/>
            </w14:solidFill>
          </w14:textFill>
        </w:rPr>
        <w:t>International Data Encryption Algorithm</w:t>
      </w:r>
      <w:r>
        <w:rPr>
          <w:rFonts w:hint="eastAsia" w:ascii="宋体" w:hAnsi="宋体"/>
          <w:color w:val="000000" w:themeColor="text1"/>
          <w:szCs w:val="21"/>
          <w14:textFill>
            <w14:solidFill>
              <w14:schemeClr w14:val="tx1"/>
            </w14:solidFill>
          </w14:textFill>
        </w:rPr>
        <w:t>）</w:t>
      </w:r>
    </w:p>
    <w:p w14:paraId="561CE360">
      <w:pPr>
        <w:tabs>
          <w:tab w:val="left" w:pos="540"/>
        </w:tabs>
        <w:spacing w:line="24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RSA：</w:t>
      </w:r>
      <w:r>
        <w:rPr>
          <w:rFonts w:ascii="宋体" w:hAnsi="宋体"/>
          <w:color w:val="000000" w:themeColor="text1"/>
          <w:szCs w:val="21"/>
          <w14:textFill>
            <w14:solidFill>
              <w14:schemeClr w14:val="tx1"/>
            </w14:solidFill>
          </w14:textFill>
        </w:rPr>
        <w:t>RSA</w:t>
      </w:r>
      <w:r>
        <w:rPr>
          <w:rFonts w:hint="eastAsia" w:ascii="宋体" w:hAnsi="宋体"/>
          <w:color w:val="000000" w:themeColor="text1"/>
          <w:szCs w:val="21"/>
          <w14:textFill>
            <w14:solidFill>
              <w14:schemeClr w14:val="tx1"/>
            </w14:solidFill>
          </w14:textFill>
        </w:rPr>
        <w:t>加密算法（</w:t>
      </w:r>
      <w:r>
        <w:rPr>
          <w:rFonts w:ascii="宋体" w:hAnsi="宋体"/>
          <w:color w:val="000000" w:themeColor="text1"/>
          <w:szCs w:val="21"/>
          <w14:textFill>
            <w14:solidFill>
              <w14:schemeClr w14:val="tx1"/>
            </w14:solidFill>
          </w14:textFill>
        </w:rPr>
        <w:t>Rivest-Shamir-Adleman</w:t>
      </w:r>
      <w:r>
        <w:rPr>
          <w:rFonts w:hint="eastAsia" w:ascii="宋体" w:hAnsi="宋体"/>
          <w:color w:val="000000" w:themeColor="text1"/>
          <w:szCs w:val="21"/>
          <w14:textFill>
            <w14:solidFill>
              <w14:schemeClr w14:val="tx1"/>
            </w14:solidFill>
          </w14:textFill>
        </w:rPr>
        <w:t>以三位发明者姓氏命名）</w:t>
      </w:r>
    </w:p>
    <w:p w14:paraId="325D3D16">
      <w:pPr>
        <w:tabs>
          <w:tab w:val="left" w:pos="540"/>
        </w:tabs>
        <w:spacing w:line="24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AES：高级加密标准（</w:t>
      </w:r>
      <w:r>
        <w:rPr>
          <w:rFonts w:ascii="宋体" w:hAnsi="宋体"/>
          <w:color w:val="000000" w:themeColor="text1"/>
          <w:szCs w:val="21"/>
          <w14:textFill>
            <w14:solidFill>
              <w14:schemeClr w14:val="tx1"/>
            </w14:solidFill>
          </w14:textFill>
        </w:rPr>
        <w:t>Advanced Encryption Standard</w:t>
      </w:r>
      <w:r>
        <w:rPr>
          <w:rFonts w:hint="eastAsia" w:ascii="宋体" w:hAnsi="宋体"/>
          <w:color w:val="000000" w:themeColor="text1"/>
          <w:szCs w:val="21"/>
          <w14:textFill>
            <w14:solidFill>
              <w14:schemeClr w14:val="tx1"/>
            </w14:solidFill>
          </w14:textFill>
        </w:rPr>
        <w:t>）</w:t>
      </w:r>
    </w:p>
    <w:p w14:paraId="78BD0BBF">
      <w:pPr>
        <w:tabs>
          <w:tab w:val="left" w:pos="540"/>
        </w:tabs>
        <w:spacing w:line="24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NAS：网络附加存储（</w:t>
      </w:r>
      <w:r>
        <w:rPr>
          <w:rFonts w:ascii="宋体" w:hAnsi="宋体"/>
          <w:color w:val="000000" w:themeColor="text1"/>
          <w:szCs w:val="21"/>
          <w14:textFill>
            <w14:solidFill>
              <w14:schemeClr w14:val="tx1"/>
            </w14:solidFill>
          </w14:textFill>
        </w:rPr>
        <w:t>Network-Attached Storage</w:t>
      </w:r>
      <w:r>
        <w:rPr>
          <w:rFonts w:hint="eastAsia" w:ascii="宋体" w:hAnsi="宋体"/>
          <w:color w:val="000000" w:themeColor="text1"/>
          <w:szCs w:val="21"/>
          <w14:textFill>
            <w14:solidFill>
              <w14:schemeClr w14:val="tx1"/>
            </w14:solidFill>
          </w14:textFill>
        </w:rPr>
        <w:t>）</w:t>
      </w:r>
    </w:p>
    <w:p w14:paraId="1753957B">
      <w:pPr>
        <w:tabs>
          <w:tab w:val="left" w:pos="540"/>
        </w:tabs>
        <w:spacing w:line="24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OSS：对象存储服务（</w:t>
      </w:r>
      <w:r>
        <w:rPr>
          <w:rFonts w:ascii="宋体" w:hAnsi="宋体"/>
          <w:color w:val="000000" w:themeColor="text1"/>
          <w:szCs w:val="21"/>
          <w14:textFill>
            <w14:solidFill>
              <w14:schemeClr w14:val="tx1"/>
            </w14:solidFill>
          </w14:textFill>
        </w:rPr>
        <w:t>Object Storage Service</w:t>
      </w:r>
      <w:r>
        <w:rPr>
          <w:rFonts w:hint="eastAsia" w:ascii="宋体" w:hAnsi="宋体"/>
          <w:color w:val="000000" w:themeColor="text1"/>
          <w:szCs w:val="21"/>
          <w14:textFill>
            <w14:solidFill>
              <w14:schemeClr w14:val="tx1"/>
            </w14:solidFill>
          </w14:textFill>
        </w:rPr>
        <w:t>）</w:t>
      </w:r>
    </w:p>
    <w:p w14:paraId="567E5389">
      <w:pPr>
        <w:pStyle w:val="22"/>
        <w:numPr>
          <w:ilvl w:val="1"/>
          <w:numId w:val="0"/>
        </w:numPr>
        <w:spacing w:before="312" w:beforeLines="100" w:after="312" w:afterLines="100"/>
        <w:outlineLvl w:val="0"/>
        <w:rPr>
          <w:color w:val="000000" w:themeColor="text1"/>
          <w14:textFill>
            <w14:solidFill>
              <w14:schemeClr w14:val="tx1"/>
            </w14:solidFill>
          </w14:textFill>
        </w:rPr>
      </w:pPr>
      <w:bookmarkStart w:id="82" w:name="_Toc207032522"/>
      <w:bookmarkStart w:id="83" w:name="_Toc156911441"/>
      <w:r>
        <w:rPr>
          <w:color w:val="000000" w:themeColor="text1"/>
          <w14:textFill>
            <w14:solidFill>
              <w14:schemeClr w14:val="tx1"/>
            </w14:solidFill>
          </w14:textFill>
        </w:rPr>
        <w:t>5</w:t>
      </w:r>
      <w:r>
        <w:rPr>
          <w:rFonts w:hint="eastAsia"/>
          <w:color w:val="000000" w:themeColor="text1"/>
          <w14:textFill>
            <w14:solidFill>
              <w14:schemeClr w14:val="tx1"/>
            </w14:solidFill>
          </w14:textFill>
        </w:rPr>
        <w:t xml:space="preserve">  总体要求</w:t>
      </w:r>
      <w:bookmarkEnd w:id="82"/>
      <w:bookmarkEnd w:id="83"/>
    </w:p>
    <w:p w14:paraId="47579652">
      <w:pPr>
        <w:pStyle w:val="23"/>
        <w:spacing w:before="156" w:after="156"/>
        <w:outlineLvl w:val="1"/>
        <w:rPr>
          <w:color w:val="000000" w:themeColor="text1"/>
          <w14:textFill>
            <w14:solidFill>
              <w14:schemeClr w14:val="tx1"/>
            </w14:solidFill>
          </w14:textFill>
        </w:rPr>
      </w:pPr>
      <w:bookmarkStart w:id="84" w:name="_Toc31403"/>
      <w:bookmarkStart w:id="85" w:name="_Toc19095"/>
      <w:bookmarkStart w:id="86" w:name="_Toc23256"/>
      <w:bookmarkStart w:id="87" w:name="_Toc3443"/>
      <w:bookmarkStart w:id="88" w:name="_Toc156911442"/>
      <w:bookmarkStart w:id="89" w:name="_Toc9126"/>
      <w:bookmarkStart w:id="90" w:name="_Toc4718"/>
      <w:bookmarkStart w:id="91" w:name="_Toc31198"/>
      <w:bookmarkStart w:id="92" w:name="_Toc207032523"/>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bookmarkEnd w:id="84"/>
      <w:bookmarkEnd w:id="85"/>
      <w:bookmarkEnd w:id="86"/>
      <w:bookmarkEnd w:id="87"/>
      <w:bookmarkEnd w:id="88"/>
      <w:bookmarkEnd w:id="89"/>
      <w:bookmarkEnd w:id="90"/>
      <w:bookmarkEnd w:id="91"/>
      <w:r>
        <w:rPr>
          <w:rFonts w:hint="eastAsia"/>
          <w:color w:val="000000" w:themeColor="text1"/>
          <w14:textFill>
            <w14:solidFill>
              <w14:schemeClr w14:val="tx1"/>
            </w14:solidFill>
          </w14:textFill>
        </w:rPr>
        <w:t>安全原则</w:t>
      </w:r>
      <w:bookmarkEnd w:id="92"/>
    </w:p>
    <w:p w14:paraId="062EA2AE">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93" w:name="_Toc177137440"/>
      <w:bookmarkStart w:id="94" w:name="_Toc207032524"/>
      <w:bookmarkStart w:id="95" w:name="_Toc1237680560"/>
      <w:r>
        <w:rPr>
          <w:rFonts w:ascii="黑体" w:hAnsi="黑体" w:eastAsia="黑体"/>
          <w:color w:val="000000" w:themeColor="text1"/>
          <w:szCs w:val="21"/>
          <w14:textFill>
            <w14:solidFill>
              <w14:schemeClr w14:val="tx1"/>
            </w14:solidFill>
          </w14:textFill>
        </w:rPr>
        <w:t>5</w:t>
      </w:r>
      <w:r>
        <w:rPr>
          <w:rFonts w:hint="eastAsia" w:ascii="黑体" w:hAnsi="黑体" w:eastAsia="黑体"/>
          <w:color w:val="000000" w:themeColor="text1"/>
          <w:szCs w:val="21"/>
          <w14:textFill>
            <w14:solidFill>
              <w14:schemeClr w14:val="tx1"/>
            </w14:solidFill>
          </w14:textFill>
        </w:rPr>
        <w:t>.1.1</w:t>
      </w:r>
      <w:bookmarkEnd w:id="93"/>
      <w:r>
        <w:rPr>
          <w:rFonts w:hint="eastAsia" w:ascii="黑体" w:hAnsi="黑体" w:eastAsia="黑体"/>
          <w:color w:val="000000" w:themeColor="text1"/>
          <w:szCs w:val="21"/>
          <w14:textFill>
            <w14:solidFill>
              <w14:schemeClr w14:val="tx1"/>
            </w14:solidFill>
          </w14:textFill>
        </w:rPr>
        <w:t>保密性原则</w:t>
      </w:r>
      <w:bookmarkEnd w:id="94"/>
      <w:bookmarkEnd w:id="95"/>
    </w:p>
    <w:p w14:paraId="4623AD59">
      <w:pPr>
        <w:widowControl/>
        <w:shd w:val="clear" w:color="auto" w:fill="FFFFFF"/>
        <w:spacing w:line="240" w:lineRule="auto"/>
        <w:ind w:firstLine="420" w:firstLineChars="200"/>
        <w:jc w:val="left"/>
        <w:rPr>
          <w:rFonts w:ascii="Segoe UI" w:hAnsi="Segoe UI" w:cs="Segoe UI"/>
          <w:color w:val="000000" w:themeColor="text1"/>
          <w:kern w:val="0"/>
          <w:szCs w:val="21"/>
          <w14:textFill>
            <w14:solidFill>
              <w14:schemeClr w14:val="tx1"/>
            </w14:solidFill>
          </w14:textFill>
        </w:rPr>
      </w:pPr>
      <w:r>
        <w:rPr>
          <w:rFonts w:hint="eastAsia" w:ascii="Segoe UI" w:hAnsi="Segoe UI" w:cs="Segoe UI"/>
          <w:color w:val="000000" w:themeColor="text1"/>
          <w:kern w:val="0"/>
          <w:szCs w:val="21"/>
          <w14:textFill>
            <w14:solidFill>
              <w14:schemeClr w14:val="tx1"/>
            </w14:solidFill>
          </w14:textFill>
        </w:rPr>
        <w:t>确保水务相关敏感信息，如管网数据、用户用水数据、水源地位置及水质监测数据等，仅被授权人员或系统访问。采用加密技术对传输中和存储的数据进行加密处理，如在数据传输过程中使用 TLS 加密协议，防止数据被窃取或非法监听；对静态数据，如数据库中的用户信息、业务文档等，利用数据库加密功能或文件加密系统进行加密存储。同时，实施严格的访问控制策略，通过身份认证（如用户名 / 密码、生物识别技术等）、权限管理（基于角色的访问控制，不同角色分配不同的访问权限）等手段，限定人员对敏感信息的访问范围。</w:t>
      </w:r>
    </w:p>
    <w:p w14:paraId="61BE1BC0">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96" w:name="_Toc207032525"/>
      <w:bookmarkStart w:id="97" w:name="_Toc623189779"/>
      <w:r>
        <w:rPr>
          <w:rFonts w:ascii="黑体" w:hAnsi="黑体" w:eastAsia="黑体"/>
          <w:color w:val="000000" w:themeColor="text1"/>
          <w:szCs w:val="21"/>
          <w14:textFill>
            <w14:solidFill>
              <w14:schemeClr w14:val="tx1"/>
            </w14:solidFill>
          </w14:textFill>
        </w:rPr>
        <w:t>5</w:t>
      </w:r>
      <w:r>
        <w:rPr>
          <w:rFonts w:hint="eastAsia" w:ascii="黑体" w:hAnsi="黑体" w:eastAsia="黑体"/>
          <w:color w:val="000000" w:themeColor="text1"/>
          <w:szCs w:val="21"/>
          <w14:textFill>
            <w14:solidFill>
              <w14:schemeClr w14:val="tx1"/>
            </w14:solidFill>
          </w14:textFill>
        </w:rPr>
        <w:t>.1.</w:t>
      </w:r>
      <w:r>
        <w:rPr>
          <w:rFonts w:ascii="黑体" w:hAnsi="黑体" w:eastAsia="黑体"/>
          <w:color w:val="000000" w:themeColor="text1"/>
          <w:szCs w:val="21"/>
          <w14:textFill>
            <w14:solidFill>
              <w14:schemeClr w14:val="tx1"/>
            </w14:solidFill>
          </w14:textFill>
        </w:rPr>
        <w:t>2</w:t>
      </w:r>
      <w:r>
        <w:rPr>
          <w:rFonts w:hint="eastAsia" w:ascii="黑体" w:hAnsi="黑体" w:eastAsia="黑体"/>
          <w:color w:val="000000" w:themeColor="text1"/>
          <w:szCs w:val="21"/>
          <w14:textFill>
            <w14:solidFill>
              <w14:schemeClr w14:val="tx1"/>
            </w14:solidFill>
          </w14:textFill>
        </w:rPr>
        <w:t>可用性原则</w:t>
      </w:r>
      <w:bookmarkEnd w:id="96"/>
      <w:bookmarkEnd w:id="97"/>
    </w:p>
    <w:p w14:paraId="553B8E95">
      <w:pPr>
        <w:widowControl/>
        <w:shd w:val="clear" w:color="auto" w:fill="FFFFFF"/>
        <w:spacing w:line="240" w:lineRule="auto"/>
        <w:ind w:firstLine="420" w:firstLineChars="200"/>
        <w:jc w:val="left"/>
        <w:rPr>
          <w:rFonts w:ascii="Segoe UI" w:hAnsi="Segoe UI" w:cs="Segoe UI"/>
          <w:color w:val="000000" w:themeColor="text1"/>
          <w:kern w:val="0"/>
          <w:szCs w:val="21"/>
          <w14:textFill>
            <w14:solidFill>
              <w14:schemeClr w14:val="tx1"/>
            </w14:solidFill>
          </w14:textFill>
        </w:rPr>
      </w:pPr>
      <w:r>
        <w:rPr>
          <w:rFonts w:hint="eastAsia" w:ascii="Segoe UI" w:hAnsi="Segoe UI" w:cs="Segoe UI"/>
          <w:color w:val="000000" w:themeColor="text1"/>
          <w:kern w:val="0"/>
          <w:szCs w:val="21"/>
          <w14:textFill>
            <w14:solidFill>
              <w14:schemeClr w14:val="tx1"/>
            </w14:solidFill>
          </w14:textFill>
        </w:rPr>
        <w:t>确保授权用户、系统和业务在需要时能够持续、可靠地访问和使用水务信息及相关信息系统。通过冗余设计，如采用双机热备、多链路冗余等技术，保障信息系统的硬件、网络设备和软件系统的高可用性，避免单点故障导致系统瘫痪。建立应急响应机制，制定详细的应急预案，针对可能出现的自然灾害、网络攻击、系统故障等突发事件，明确应急处置流程和责任分工，定期进行应急演练，提高应急响应能力和恢复效率，确保在最短时间内恢复系统正常运行和信息的可用性。同时，合理规划系统资源，进行容量管理，根据业务发展和用户需求变化，及时对系统进行升级和扩展，保证系统在高负载情况下仍能正常运行。</w:t>
      </w:r>
    </w:p>
    <w:p w14:paraId="68D9D14E">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98" w:name="_Toc207032526"/>
      <w:bookmarkStart w:id="99" w:name="_Toc672869234"/>
      <w:r>
        <w:rPr>
          <w:rFonts w:ascii="黑体" w:hAnsi="黑体" w:eastAsia="黑体"/>
          <w:color w:val="000000" w:themeColor="text1"/>
          <w:szCs w:val="21"/>
          <w14:textFill>
            <w14:solidFill>
              <w14:schemeClr w14:val="tx1"/>
            </w14:solidFill>
          </w14:textFill>
        </w:rPr>
        <w:t>5</w:t>
      </w:r>
      <w:r>
        <w:rPr>
          <w:rFonts w:hint="eastAsia" w:ascii="黑体" w:hAnsi="黑体" w:eastAsia="黑体"/>
          <w:color w:val="000000" w:themeColor="text1"/>
          <w:szCs w:val="21"/>
          <w14:textFill>
            <w14:solidFill>
              <w14:schemeClr w14:val="tx1"/>
            </w14:solidFill>
          </w14:textFill>
        </w:rPr>
        <w:t>.1.</w:t>
      </w:r>
      <w:r>
        <w:rPr>
          <w:rFonts w:ascii="黑体" w:hAnsi="黑体" w:eastAsia="黑体"/>
          <w:color w:val="000000" w:themeColor="text1"/>
          <w:szCs w:val="21"/>
          <w14:textFill>
            <w14:solidFill>
              <w14:schemeClr w14:val="tx1"/>
            </w14:solidFill>
          </w14:textFill>
        </w:rPr>
        <w:t>3</w:t>
      </w:r>
      <w:r>
        <w:rPr>
          <w:rFonts w:hint="eastAsia" w:ascii="黑体" w:hAnsi="黑体" w:eastAsia="黑体"/>
          <w:color w:val="000000" w:themeColor="text1"/>
          <w:szCs w:val="21"/>
          <w14:textFill>
            <w14:solidFill>
              <w14:schemeClr w14:val="tx1"/>
            </w14:solidFill>
          </w14:textFill>
        </w:rPr>
        <w:t>最小权限原则</w:t>
      </w:r>
      <w:bookmarkEnd w:id="98"/>
      <w:bookmarkEnd w:id="99"/>
    </w:p>
    <w:p w14:paraId="073F7BC0">
      <w:pPr>
        <w:widowControl/>
        <w:shd w:val="clear" w:color="auto" w:fill="FFFFFF"/>
        <w:spacing w:line="240" w:lineRule="auto"/>
        <w:ind w:firstLine="420" w:firstLineChars="200"/>
        <w:jc w:val="left"/>
      </w:pPr>
      <w:r>
        <w:rPr>
          <w:rFonts w:hint="eastAsia" w:ascii="Segoe UI" w:hAnsi="Segoe UI" w:cs="Segoe UI"/>
          <w:color w:val="000000" w:themeColor="text1"/>
          <w:kern w:val="0"/>
          <w:szCs w:val="21"/>
          <w14:textFill>
            <w14:solidFill>
              <w14:schemeClr w14:val="tx1"/>
            </w14:solidFill>
          </w14:textFill>
        </w:rPr>
        <w:t>为水务系统的用户、进程和服务分配执行其任务所需的最小权限集合。对人员权限进行精细化管理，根据员工的工作职责和业务需求，划分不同的角色并为每个角色赋予相应的最小权限，例</w:t>
      </w:r>
      <w:bookmarkStart w:id="100" w:name="OLE_LINK17"/>
      <w:bookmarkStart w:id="101" w:name="OLE_LINK18"/>
      <w:r>
        <w:rPr>
          <w:rFonts w:hint="eastAsia" w:ascii="Segoe UI" w:hAnsi="Segoe UI" w:cs="Segoe UI"/>
          <w:color w:val="000000" w:themeColor="text1"/>
          <w:kern w:val="0"/>
          <w:szCs w:val="21"/>
          <w14:textFill>
            <w14:solidFill>
              <w14:schemeClr w14:val="tx1"/>
            </w14:solidFill>
          </w14:textFill>
        </w:rPr>
        <w:t>如，水质监测人员仅具有查看和上传水质监</w:t>
      </w:r>
      <w:bookmarkEnd w:id="100"/>
      <w:bookmarkEnd w:id="101"/>
      <w:r>
        <w:rPr>
          <w:rFonts w:hint="eastAsia" w:ascii="Segoe UI" w:hAnsi="Segoe UI" w:cs="Segoe UI"/>
          <w:color w:val="000000" w:themeColor="text1"/>
          <w:kern w:val="0"/>
          <w:szCs w:val="21"/>
          <w14:textFill>
            <w14:solidFill>
              <w14:schemeClr w14:val="tx1"/>
            </w14:solidFill>
          </w14:textFill>
        </w:rPr>
        <w:t>测数据的权限，而无权修改用户账单信息；系统管理员具有管理系统配置和用户权限的必要权限，但对于敏感业务数据的访问权限受到严格限制。对于系统进程和服务，确保其仅能访问和操作完成自身功能所必需的资源，避免因权限过大导致安全风险，如限制数据库服务进程对系统文件的访问权限，防止其被恶意利用进行数据篡改或破坏。</w:t>
      </w:r>
    </w:p>
    <w:p w14:paraId="297B2322">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102" w:name="_Toc264330736"/>
      <w:bookmarkStart w:id="103" w:name="_Toc207032527"/>
      <w:r>
        <w:rPr>
          <w:rFonts w:ascii="黑体" w:hAnsi="黑体" w:eastAsia="黑体"/>
          <w:color w:val="000000" w:themeColor="text1"/>
          <w:szCs w:val="21"/>
          <w14:textFill>
            <w14:solidFill>
              <w14:schemeClr w14:val="tx1"/>
            </w14:solidFill>
          </w14:textFill>
        </w:rPr>
        <w:t>5</w:t>
      </w:r>
      <w:r>
        <w:rPr>
          <w:rFonts w:hint="eastAsia" w:ascii="黑体" w:hAnsi="黑体" w:eastAsia="黑体"/>
          <w:color w:val="000000" w:themeColor="text1"/>
          <w:szCs w:val="21"/>
          <w14:textFill>
            <w14:solidFill>
              <w14:schemeClr w14:val="tx1"/>
            </w14:solidFill>
          </w14:textFill>
        </w:rPr>
        <w:t>.1.</w:t>
      </w:r>
      <w:r>
        <w:rPr>
          <w:rFonts w:ascii="黑体" w:hAnsi="黑体" w:eastAsia="黑体"/>
          <w:color w:val="000000" w:themeColor="text1"/>
          <w:szCs w:val="21"/>
          <w14:textFill>
            <w14:solidFill>
              <w14:schemeClr w14:val="tx1"/>
            </w14:solidFill>
          </w14:textFill>
        </w:rPr>
        <w:t>4</w:t>
      </w:r>
      <w:r>
        <w:rPr>
          <w:rFonts w:hint="eastAsia" w:ascii="黑体" w:hAnsi="黑体" w:eastAsia="黑体"/>
          <w:color w:val="000000" w:themeColor="text1"/>
          <w:szCs w:val="21"/>
          <w14:textFill>
            <w14:solidFill>
              <w14:schemeClr w14:val="tx1"/>
            </w14:solidFill>
          </w14:textFill>
        </w:rPr>
        <w:t>持续改进原则</w:t>
      </w:r>
      <w:bookmarkEnd w:id="102"/>
      <w:bookmarkEnd w:id="103"/>
    </w:p>
    <w:p w14:paraId="73FF9389">
      <w:pPr>
        <w:widowControl/>
        <w:shd w:val="clear" w:color="auto" w:fill="FFFFFF"/>
        <w:spacing w:line="240" w:lineRule="auto"/>
        <w:ind w:firstLine="420" w:firstLineChars="200"/>
        <w:jc w:val="left"/>
        <w:rPr>
          <w:rFonts w:ascii="Segoe UI" w:hAnsi="Segoe UI" w:cs="Segoe UI"/>
          <w:color w:val="000000" w:themeColor="text1"/>
          <w:kern w:val="0"/>
          <w:szCs w:val="21"/>
          <w14:textFill>
            <w14:solidFill>
              <w14:schemeClr w14:val="tx1"/>
            </w14:solidFill>
          </w14:textFill>
        </w:rPr>
      </w:pPr>
      <w:r>
        <w:rPr>
          <w:rFonts w:hint="eastAsia" w:ascii="Segoe UI" w:hAnsi="Segoe UI" w:cs="Segoe UI"/>
          <w:color w:val="000000" w:themeColor="text1"/>
          <w:kern w:val="0"/>
          <w:szCs w:val="21"/>
          <w14:textFill>
            <w14:solidFill>
              <w14:schemeClr w14:val="tx1"/>
            </w14:solidFill>
          </w14:textFill>
        </w:rPr>
        <w:t>随着信息技术的发展、水务业务的变化以及安全威胁的不断演变，水务信息安全工作应持续改进和优化。建立信息安全监测和评估机制，定期对信息系统的安全状况进行全面检测和评估，如通过漏洞扫描、安全审计、渗透测试等手段，及时发现安全漏洞和隐患；根据监测和评估结果，制定针对性的改进措施和计划，及时修复安全漏洞、优化安全策略和防护措施；同时，关注行业最新安全动态和技术发展趋势，引入先进的安全技术和管理理念，不断完善水务信息安全保障体系，提高整体安全防护能力。此外，定期组织员工进行安全培训和教育，增强员工的安全意识和技能，促进安全文化的持续提升。</w:t>
      </w:r>
    </w:p>
    <w:p w14:paraId="2ECBD3D9">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104" w:name="_Toc1610497956"/>
      <w:bookmarkStart w:id="105" w:name="_Toc207032528"/>
      <w:r>
        <w:rPr>
          <w:rFonts w:ascii="黑体" w:hAnsi="黑体" w:eastAsia="黑体"/>
          <w:color w:val="000000" w:themeColor="text1"/>
          <w:szCs w:val="21"/>
          <w14:textFill>
            <w14:solidFill>
              <w14:schemeClr w14:val="tx1"/>
            </w14:solidFill>
          </w14:textFill>
        </w:rPr>
        <w:t>5</w:t>
      </w:r>
      <w:r>
        <w:rPr>
          <w:rFonts w:hint="eastAsia" w:ascii="黑体" w:hAnsi="黑体" w:eastAsia="黑体"/>
          <w:color w:val="000000" w:themeColor="text1"/>
          <w:szCs w:val="21"/>
          <w14:textFill>
            <w14:solidFill>
              <w14:schemeClr w14:val="tx1"/>
            </w14:solidFill>
          </w14:textFill>
        </w:rPr>
        <w:t>.1.</w:t>
      </w:r>
      <w:r>
        <w:rPr>
          <w:rFonts w:ascii="黑体" w:hAnsi="黑体" w:eastAsia="黑体"/>
          <w:color w:val="000000" w:themeColor="text1"/>
          <w:szCs w:val="21"/>
          <w14:textFill>
            <w14:solidFill>
              <w14:schemeClr w14:val="tx1"/>
            </w14:solidFill>
          </w14:textFill>
        </w:rPr>
        <w:t>5</w:t>
      </w:r>
      <w:r>
        <w:rPr>
          <w:rFonts w:hint="eastAsia" w:ascii="黑体" w:hAnsi="黑体" w:eastAsia="黑体"/>
          <w:color w:val="000000" w:themeColor="text1"/>
          <w:szCs w:val="21"/>
          <w14:textFill>
            <w14:solidFill>
              <w14:schemeClr w14:val="tx1"/>
            </w14:solidFill>
          </w14:textFill>
        </w:rPr>
        <w:t>合规性原则</w:t>
      </w:r>
      <w:bookmarkEnd w:id="104"/>
      <w:bookmarkEnd w:id="105"/>
    </w:p>
    <w:p w14:paraId="5C8B0705">
      <w:pPr>
        <w:widowControl/>
        <w:shd w:val="clear" w:color="auto" w:fill="FFFFFF"/>
        <w:spacing w:line="240" w:lineRule="auto"/>
        <w:ind w:firstLine="420" w:firstLineChars="200"/>
        <w:jc w:val="left"/>
        <w:rPr>
          <w:rFonts w:ascii="Segoe UI" w:hAnsi="Segoe UI" w:cs="Segoe UI"/>
          <w:color w:val="000000" w:themeColor="text1"/>
          <w:kern w:val="0"/>
          <w:szCs w:val="21"/>
          <w14:textFill>
            <w14:solidFill>
              <w14:schemeClr w14:val="tx1"/>
            </w14:solidFill>
          </w14:textFill>
        </w:rPr>
      </w:pPr>
      <w:r>
        <w:rPr>
          <w:rFonts w:hint="eastAsia" w:ascii="Segoe UI" w:hAnsi="Segoe UI" w:cs="Segoe UI"/>
          <w:color w:val="000000" w:themeColor="text1"/>
          <w:kern w:val="0"/>
          <w:szCs w:val="21"/>
          <w14:textFill>
            <w14:solidFill>
              <w14:schemeClr w14:val="tx1"/>
            </w14:solidFill>
          </w14:textFill>
        </w:rPr>
        <w:t>水务信息安全工作在数据收集、存储、使用、共享等环节遵循合规、正当、必要的原则，保护用户隐私和数据安全。积极响应国家和行业主管部门的安全监管要求，配合开展安全检查、等级保护测评等工作，对涉及关键信息基础设施的水务系统，按照相关规定落实重点保护措施，保障国家水安全和社会公共利益。同时，根据法律法规和政策标准的变化，及时调整和完善水务信息安全管理制度和措施，确保合规性的持续满足。</w:t>
      </w:r>
    </w:p>
    <w:p w14:paraId="5C9926D4">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106" w:name="_Toc207032529"/>
      <w:r>
        <w:rPr>
          <w:rFonts w:ascii="黑体" w:hAnsi="黑体" w:eastAsia="黑体"/>
          <w:color w:val="000000" w:themeColor="text1"/>
          <w:szCs w:val="21"/>
          <w14:textFill>
            <w14:solidFill>
              <w14:schemeClr w14:val="tx1"/>
            </w14:solidFill>
          </w14:textFill>
        </w:rPr>
        <w:t>5</w:t>
      </w:r>
      <w:r>
        <w:rPr>
          <w:rFonts w:hint="eastAsia" w:ascii="黑体" w:hAnsi="黑体" w:eastAsia="黑体"/>
          <w:color w:val="000000" w:themeColor="text1"/>
          <w:szCs w:val="21"/>
          <w14:textFill>
            <w14:solidFill>
              <w14:schemeClr w14:val="tx1"/>
            </w14:solidFill>
          </w14:textFill>
        </w:rPr>
        <w:t>.1.</w:t>
      </w:r>
      <w:r>
        <w:rPr>
          <w:rFonts w:ascii="黑体" w:hAnsi="黑体" w:eastAsia="黑体"/>
          <w:color w:val="000000" w:themeColor="text1"/>
          <w:szCs w:val="21"/>
          <w14:textFill>
            <w14:solidFill>
              <w14:schemeClr w14:val="tx1"/>
            </w14:solidFill>
          </w14:textFill>
        </w:rPr>
        <w:t>6</w:t>
      </w:r>
      <w:r>
        <w:rPr>
          <w:rFonts w:hint="eastAsia" w:ascii="黑体" w:hAnsi="黑体" w:eastAsia="黑体"/>
          <w:color w:val="000000" w:themeColor="text1"/>
          <w:szCs w:val="21"/>
          <w14:textFill>
            <w14:solidFill>
              <w14:schemeClr w14:val="tx1"/>
            </w14:solidFill>
          </w14:textFill>
        </w:rPr>
        <w:t>先进性原则</w:t>
      </w:r>
      <w:bookmarkEnd w:id="106"/>
    </w:p>
    <w:p w14:paraId="7A736EF3">
      <w:pPr>
        <w:widowControl/>
        <w:shd w:val="clear" w:color="auto" w:fill="FFFFFF"/>
        <w:spacing w:line="240" w:lineRule="auto"/>
        <w:ind w:firstLine="420" w:firstLineChars="200"/>
        <w:jc w:val="left"/>
        <w:rPr>
          <w:rFonts w:ascii="Segoe UI" w:hAnsi="Segoe UI" w:cs="Segoe UI"/>
          <w:color w:val="000000" w:themeColor="text1"/>
          <w:kern w:val="0"/>
          <w:szCs w:val="21"/>
          <w14:textFill>
            <w14:solidFill>
              <w14:schemeClr w14:val="tx1"/>
            </w14:solidFill>
          </w14:textFill>
        </w:rPr>
      </w:pPr>
      <w:r>
        <w:rPr>
          <w:rFonts w:hint="eastAsia" w:ascii="Segoe UI" w:hAnsi="Segoe UI" w:cs="Segoe UI"/>
          <w:color w:val="000000" w:themeColor="text1"/>
          <w:kern w:val="0"/>
          <w:szCs w:val="21"/>
          <w14:textFill>
            <w14:solidFill>
              <w14:schemeClr w14:val="tx1"/>
            </w14:solidFill>
          </w14:textFill>
        </w:rPr>
        <w:t>水务行业的信息安全建设应与行业应用趋势同步发展，考虑行业技术和产品更新带来的安全影响。特别是对于发展较快的人工智能大模型、算法和应用产品，应在建设时配置相应的安全管理机制和技术防护手段，保持技术先进性。</w:t>
      </w:r>
    </w:p>
    <w:p w14:paraId="39745B9C">
      <w:pPr>
        <w:pStyle w:val="23"/>
        <w:spacing w:before="156" w:after="156"/>
        <w:outlineLvl w:val="1"/>
        <w:rPr>
          <w:color w:val="000000" w:themeColor="text1"/>
          <w14:textFill>
            <w14:solidFill>
              <w14:schemeClr w14:val="tx1"/>
            </w14:solidFill>
          </w14:textFill>
        </w:rPr>
      </w:pPr>
      <w:bookmarkStart w:id="107" w:name="_Toc207032530"/>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安全技术总体架构</w:t>
      </w:r>
      <w:bookmarkEnd w:id="107"/>
    </w:p>
    <w:p w14:paraId="3FEB48E9">
      <w:pPr>
        <w:widowControl/>
        <w:shd w:val="clear" w:color="auto" w:fill="FFFFFF"/>
        <w:spacing w:line="240" w:lineRule="auto"/>
        <w:ind w:firstLine="420" w:firstLineChars="200"/>
        <w:jc w:val="left"/>
        <w:rPr>
          <w:color w:val="000000" w:themeColor="text1"/>
          <w14:textFill>
            <w14:solidFill>
              <w14:schemeClr w14:val="tx1"/>
            </w14:solidFill>
          </w14:textFill>
        </w:rPr>
      </w:pPr>
      <w:r>
        <w:rPr>
          <w:rFonts w:hint="eastAsia" w:ascii="Segoe UI" w:hAnsi="Segoe UI" w:cs="Segoe UI"/>
          <w:color w:val="000000" w:themeColor="text1"/>
          <w:kern w:val="0"/>
          <w:szCs w:val="21"/>
          <w14:textFill>
            <w14:solidFill>
              <w14:schemeClr w14:val="tx1"/>
            </w14:solidFill>
          </w14:textFill>
        </w:rPr>
        <w:t>城乡水务信息系统安全分为安全技术要求和管理保障体系两部分，总体框架见图1</w:t>
      </w:r>
      <w:r>
        <w:rPr>
          <w:rFonts w:ascii="Segoe UI" w:hAnsi="Segoe UI" w:cs="Segoe UI"/>
          <w:color w:val="000000" w:themeColor="text1"/>
          <w:kern w:val="0"/>
          <w:szCs w:val="21"/>
          <w14:textFill>
            <w14:solidFill>
              <w14:schemeClr w14:val="tx1"/>
            </w14:solidFill>
          </w14:textFill>
        </w:rPr>
        <w:t>。</w:t>
      </w:r>
    </w:p>
    <w:p w14:paraId="4058F94C">
      <w:pPr>
        <w:rPr>
          <w:color w:val="000000" w:themeColor="text1"/>
          <w14:textFill>
            <w14:solidFill>
              <w14:schemeClr w14:val="tx1"/>
            </w14:solidFill>
          </w14:textFill>
        </w:rPr>
      </w:pPr>
    </w:p>
    <w:p w14:paraId="3060AC9B">
      <w:pPr>
        <w:rPr>
          <w:color w:val="000000" w:themeColor="text1"/>
          <w14:textFill>
            <w14:solidFill>
              <w14:schemeClr w14:val="tx1"/>
            </w14:solidFill>
          </w14:textFill>
        </w:rPr>
      </w:pPr>
      <w:r>
        <w:rPr>
          <w:color w:val="000000" w:themeColor="text1"/>
          <w14:textFill>
            <w14:solidFill>
              <w14:schemeClr w14:val="tx1"/>
            </w14:solidFill>
          </w14:textFill>
          <w14:ligatures w14:val="standardContextual"/>
        </w:rPr>
        <w:drawing>
          <wp:inline distT="0" distB="0" distL="0" distR="0">
            <wp:extent cx="5274310" cy="2913380"/>
            <wp:effectExtent l="0" t="0" r="8890" b="7620"/>
            <wp:docPr id="17187375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73759"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4310" cy="2913380"/>
                    </a:xfrm>
                    <a:prstGeom prst="rect">
                      <a:avLst/>
                    </a:prstGeom>
                  </pic:spPr>
                </pic:pic>
              </a:graphicData>
            </a:graphic>
          </wp:inline>
        </w:drawing>
      </w:r>
    </w:p>
    <w:p w14:paraId="07CA818A">
      <w:pPr>
        <w:pStyle w:val="3"/>
        <w:spacing w:line="240" w:lineRule="auto"/>
        <w:jc w:val="center"/>
        <w:rPr>
          <w:rFonts w:ascii="黑体" w:hAnsi="黑体"/>
          <w:color w:val="000000" w:themeColor="text1"/>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图 1</w:t>
      </w:r>
      <w:r>
        <w:rPr>
          <w:rFonts w:hint="eastAsia" w:ascii="黑体" w:hAnsi="黑体"/>
          <w:color w:val="000000" w:themeColor="text1"/>
          <w:sz w:val="21"/>
          <w:szCs w:val="21"/>
          <w:lang w:val="en-US"/>
          <w14:textFill>
            <w14:solidFill>
              <w14:schemeClr w14:val="tx1"/>
            </w14:solidFill>
          </w14:textFill>
        </w:rPr>
        <w:t>城乡水务信息系统安全技术总体框架图</w:t>
      </w:r>
    </w:p>
    <w:p w14:paraId="7ED84CB1">
      <w:pPr>
        <w:pStyle w:val="23"/>
        <w:spacing w:before="156" w:after="156"/>
        <w:outlineLvl w:val="1"/>
        <w:rPr>
          <w:color w:val="000000" w:themeColor="text1"/>
          <w14:textFill>
            <w14:solidFill>
              <w14:schemeClr w14:val="tx1"/>
            </w14:solidFill>
          </w14:textFill>
        </w:rPr>
      </w:pPr>
      <w:bookmarkStart w:id="108" w:name="_Toc207032531"/>
      <w:r>
        <w:rPr>
          <w:color w:val="000000" w:themeColor="text1"/>
          <w14:textFill>
            <w14:solidFill>
              <w14:schemeClr w14:val="tx1"/>
            </w14:solidFill>
          </w14:textFill>
        </w:rPr>
        <w:t>5</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水务系统生命周期管理</w:t>
      </w:r>
      <w:bookmarkEnd w:id="108"/>
    </w:p>
    <w:p w14:paraId="4B032008">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109" w:name="_Toc2013958366"/>
      <w:bookmarkStart w:id="110" w:name="_Toc207032532"/>
      <w:bookmarkStart w:id="111" w:name="_Toc177137445"/>
      <w:r>
        <w:rPr>
          <w:rFonts w:ascii="黑体" w:hAnsi="黑体" w:eastAsia="黑体"/>
          <w:color w:val="000000" w:themeColor="text1"/>
          <w:szCs w:val="21"/>
          <w14:textFill>
            <w14:solidFill>
              <w14:schemeClr w14:val="tx1"/>
            </w14:solidFill>
          </w14:textFill>
        </w:rPr>
        <w:t>5</w:t>
      </w:r>
      <w:r>
        <w:rPr>
          <w:rFonts w:hint="eastAsia" w:ascii="黑体" w:hAnsi="黑体" w:eastAsia="黑体"/>
          <w:color w:val="000000" w:themeColor="text1"/>
          <w:szCs w:val="21"/>
          <w14:textFill>
            <w14:solidFill>
              <w14:schemeClr w14:val="tx1"/>
            </w14:solidFill>
          </w14:textFill>
        </w:rPr>
        <w:t>.3.1规划设计阶段</w:t>
      </w:r>
      <w:bookmarkEnd w:id="109"/>
      <w:bookmarkEnd w:id="110"/>
      <w:bookmarkEnd w:id="111"/>
    </w:p>
    <w:p w14:paraId="51F0A4F4">
      <w:pPr>
        <w:widowControl/>
        <w:shd w:val="clear" w:color="auto" w:fill="FFFFFF"/>
        <w:spacing w:line="240" w:lineRule="auto"/>
        <w:ind w:firstLine="420" w:firstLineChars="200"/>
        <w:jc w:val="left"/>
        <w:rPr>
          <w:rFonts w:ascii="Segoe UI" w:hAnsi="Segoe UI" w:cs="Segoe UI"/>
          <w:color w:val="000000" w:themeColor="text1"/>
          <w:kern w:val="0"/>
          <w:szCs w:val="21"/>
          <w14:textFill>
            <w14:solidFill>
              <w14:schemeClr w14:val="tx1"/>
            </w14:solidFill>
          </w14:textFill>
        </w:rPr>
      </w:pPr>
      <w:bookmarkStart w:id="112" w:name="OLE_LINK5"/>
      <w:bookmarkStart w:id="113" w:name="_Hlk195024202"/>
      <w:r>
        <w:rPr>
          <w:rFonts w:ascii="Segoe UI" w:hAnsi="Segoe UI" w:cs="Segoe UI"/>
          <w:color w:val="000000" w:themeColor="text1"/>
          <w:kern w:val="0"/>
          <w:szCs w:val="21"/>
          <w14:textFill>
            <w14:solidFill>
              <w14:schemeClr w14:val="tx1"/>
            </w14:solidFill>
          </w14:textFill>
        </w:rPr>
        <w:t>安全需求分析：在项目初始阶段，</w:t>
      </w:r>
      <w:r>
        <w:rPr>
          <w:rFonts w:hint="eastAsia" w:ascii="Segoe UI" w:hAnsi="Segoe UI" w:cs="Segoe UI"/>
          <w:color w:val="000000" w:themeColor="text1"/>
          <w:kern w:val="0"/>
          <w:szCs w:val="21"/>
          <w14:textFill>
            <w14:solidFill>
              <w14:schemeClr w14:val="tx1"/>
            </w14:solidFill>
          </w14:textFill>
        </w:rPr>
        <w:t>应</w:t>
      </w:r>
      <w:r>
        <w:rPr>
          <w:rFonts w:ascii="Segoe UI" w:hAnsi="Segoe UI" w:cs="Segoe UI"/>
          <w:color w:val="000000" w:themeColor="text1"/>
          <w:kern w:val="0"/>
          <w:szCs w:val="21"/>
          <w14:textFill>
            <w14:solidFill>
              <w14:schemeClr w14:val="tx1"/>
            </w14:solidFill>
          </w14:textFill>
        </w:rPr>
        <w:t>识别和分析信息系统安全需求，结合水务行业特点，明确安全目标、策略、风险承受能力和应对措施。</w:t>
      </w:r>
    </w:p>
    <w:bookmarkEnd w:id="112"/>
    <w:bookmarkEnd w:id="113"/>
    <w:p w14:paraId="17F4FA83">
      <w:pPr>
        <w:widowControl/>
        <w:shd w:val="clear" w:color="auto" w:fill="FFFFFF"/>
        <w:spacing w:line="240" w:lineRule="auto"/>
        <w:ind w:firstLine="420" w:firstLineChars="200"/>
        <w:jc w:val="left"/>
        <w:rPr>
          <w:rFonts w:ascii="Segoe UI" w:hAnsi="Segoe UI" w:cs="Segoe UI"/>
          <w:color w:val="000000" w:themeColor="text1"/>
          <w:kern w:val="0"/>
          <w:szCs w:val="21"/>
          <w14:textFill>
            <w14:solidFill>
              <w14:schemeClr w14:val="tx1"/>
            </w14:solidFill>
          </w14:textFill>
        </w:rPr>
      </w:pPr>
      <w:r>
        <w:rPr>
          <w:rFonts w:ascii="Segoe UI" w:hAnsi="Segoe UI" w:cs="Segoe UI"/>
          <w:color w:val="000000" w:themeColor="text1"/>
          <w:kern w:val="0"/>
          <w:szCs w:val="21"/>
          <w14:textFill>
            <w14:solidFill>
              <w14:schemeClr w14:val="tx1"/>
            </w14:solidFill>
          </w14:textFill>
        </w:rPr>
        <w:t>安全方案设计：</w:t>
      </w:r>
      <w:r>
        <w:rPr>
          <w:rFonts w:hint="eastAsia" w:ascii="Segoe UI" w:hAnsi="Segoe UI" w:cs="Segoe UI"/>
          <w:color w:val="000000" w:themeColor="text1"/>
          <w:kern w:val="0"/>
          <w:szCs w:val="21"/>
          <w14:textFill>
            <w14:solidFill>
              <w14:schemeClr w14:val="tx1"/>
            </w14:solidFill>
          </w14:textFill>
        </w:rPr>
        <w:t>应</w:t>
      </w:r>
      <w:r>
        <w:rPr>
          <w:rFonts w:ascii="Segoe UI" w:hAnsi="Segoe UI" w:cs="Segoe UI"/>
          <w:color w:val="000000" w:themeColor="text1"/>
          <w:kern w:val="0"/>
          <w:szCs w:val="21"/>
          <w14:textFill>
            <w14:solidFill>
              <w14:schemeClr w14:val="tx1"/>
            </w14:solidFill>
          </w14:textFill>
        </w:rPr>
        <w:t>根据需求分析结果，设计安全架构，包括但不限于物理布局、网络架构、数据分类与保护、访问控制策略、安全防护体系等。</w:t>
      </w:r>
    </w:p>
    <w:p w14:paraId="2C3B2D36">
      <w:pPr>
        <w:widowControl/>
        <w:shd w:val="clear" w:color="auto" w:fill="FFFFFF"/>
        <w:spacing w:line="240" w:lineRule="auto"/>
        <w:ind w:firstLine="420" w:firstLineChars="200"/>
        <w:jc w:val="left"/>
        <w:rPr>
          <w:rFonts w:ascii="Segoe UI" w:hAnsi="Segoe UI" w:cs="Segoe UI"/>
          <w:color w:val="000000" w:themeColor="text1"/>
          <w:kern w:val="0"/>
          <w:szCs w:val="21"/>
          <w14:textFill>
            <w14:solidFill>
              <w14:schemeClr w14:val="tx1"/>
            </w14:solidFill>
          </w14:textFill>
        </w:rPr>
      </w:pPr>
      <w:r>
        <w:rPr>
          <w:rFonts w:ascii="Segoe UI" w:hAnsi="Segoe UI" w:cs="Segoe UI"/>
          <w:color w:val="000000" w:themeColor="text1"/>
          <w:kern w:val="0"/>
          <w:szCs w:val="21"/>
          <w14:textFill>
            <w14:solidFill>
              <w14:schemeClr w14:val="tx1"/>
            </w14:solidFill>
          </w14:textFill>
        </w:rPr>
        <w:t>合作伙伴安全评估：对涉及项目的各方合作伙伴（如供应商、集成商、运维服务商等）进行严格的安全资质审核和安全能力评估，确保其满足项目整体安全要求。</w:t>
      </w:r>
    </w:p>
    <w:p w14:paraId="75423E3D">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114" w:name="_Toc2108496995"/>
      <w:bookmarkStart w:id="115" w:name="_Toc207032533"/>
      <w:bookmarkStart w:id="116" w:name="_Toc177137446"/>
      <w:r>
        <w:rPr>
          <w:rFonts w:ascii="黑体" w:hAnsi="黑体" w:eastAsia="黑体"/>
          <w:color w:val="000000" w:themeColor="text1"/>
          <w:szCs w:val="21"/>
          <w14:textFill>
            <w14:solidFill>
              <w14:schemeClr w14:val="tx1"/>
            </w14:solidFill>
          </w14:textFill>
        </w:rPr>
        <w:t>5</w:t>
      </w:r>
      <w:r>
        <w:rPr>
          <w:rFonts w:hint="eastAsia" w:ascii="黑体" w:hAnsi="黑体" w:eastAsia="黑体"/>
          <w:color w:val="000000" w:themeColor="text1"/>
          <w:szCs w:val="21"/>
          <w14:textFill>
            <w14:solidFill>
              <w14:schemeClr w14:val="tx1"/>
            </w14:solidFill>
          </w14:textFill>
        </w:rPr>
        <w:t>.3.2建设实施阶段</w:t>
      </w:r>
      <w:bookmarkEnd w:id="114"/>
      <w:bookmarkEnd w:id="115"/>
      <w:bookmarkEnd w:id="116"/>
    </w:p>
    <w:p w14:paraId="095AB142">
      <w:pPr>
        <w:widowControl/>
        <w:shd w:val="clear" w:color="auto" w:fill="FFFFFF"/>
        <w:spacing w:line="240" w:lineRule="auto"/>
        <w:ind w:firstLine="420" w:firstLineChars="200"/>
        <w:jc w:val="left"/>
        <w:rPr>
          <w:rFonts w:ascii="Segoe UI" w:hAnsi="Segoe UI" w:cs="Segoe UI"/>
          <w:color w:val="000000" w:themeColor="text1"/>
          <w:kern w:val="0"/>
          <w:szCs w:val="21"/>
          <w14:textFill>
            <w14:solidFill>
              <w14:schemeClr w14:val="tx1"/>
            </w14:solidFill>
          </w14:textFill>
        </w:rPr>
      </w:pPr>
      <w:r>
        <w:rPr>
          <w:rFonts w:ascii="Segoe UI" w:hAnsi="Segoe UI" w:cs="Segoe UI"/>
          <w:color w:val="000000" w:themeColor="text1"/>
          <w:kern w:val="0"/>
          <w:szCs w:val="21"/>
          <w14:textFill>
            <w14:solidFill>
              <w14:schemeClr w14:val="tx1"/>
            </w14:solidFill>
          </w14:textFill>
        </w:rPr>
        <w:t>安全控制集成：在系统建设过程中，</w:t>
      </w:r>
      <w:r>
        <w:rPr>
          <w:rFonts w:hint="eastAsia" w:ascii="Segoe UI" w:hAnsi="Segoe UI" w:cs="Segoe UI"/>
          <w:color w:val="000000" w:themeColor="text1"/>
          <w:kern w:val="0"/>
          <w:szCs w:val="21"/>
          <w14:textFill>
            <w14:solidFill>
              <w14:schemeClr w14:val="tx1"/>
            </w14:solidFill>
          </w14:textFill>
        </w:rPr>
        <w:t>应</w:t>
      </w:r>
      <w:r>
        <w:rPr>
          <w:rFonts w:ascii="Segoe UI" w:hAnsi="Segoe UI" w:cs="Segoe UI"/>
          <w:color w:val="000000" w:themeColor="text1"/>
          <w:kern w:val="0"/>
          <w:szCs w:val="21"/>
          <w14:textFill>
            <w14:solidFill>
              <w14:schemeClr w14:val="tx1"/>
            </w14:solidFill>
          </w14:textFill>
        </w:rPr>
        <w:t>按照设计方案落实各项安全控制措施，包括软硬件设备的安全配置、网络系统的安全布设、应用程序的安全开发等。</w:t>
      </w:r>
    </w:p>
    <w:p w14:paraId="774EF7A2">
      <w:pPr>
        <w:widowControl/>
        <w:shd w:val="clear" w:color="auto" w:fill="FFFFFF"/>
        <w:spacing w:line="240" w:lineRule="auto"/>
        <w:ind w:firstLine="420" w:firstLineChars="200"/>
        <w:jc w:val="left"/>
        <w:rPr>
          <w:rFonts w:ascii="Segoe UI" w:hAnsi="Segoe UI" w:cs="Segoe UI"/>
          <w:color w:val="000000" w:themeColor="text1"/>
          <w:kern w:val="0"/>
          <w:szCs w:val="21"/>
          <w14:textFill>
            <w14:solidFill>
              <w14:schemeClr w14:val="tx1"/>
            </w14:solidFill>
          </w14:textFill>
        </w:rPr>
      </w:pPr>
      <w:r>
        <w:rPr>
          <w:rFonts w:ascii="Segoe UI" w:hAnsi="Segoe UI" w:cs="Segoe UI"/>
          <w:color w:val="000000" w:themeColor="text1"/>
          <w:kern w:val="0"/>
          <w:szCs w:val="21"/>
          <w14:textFill>
            <w14:solidFill>
              <w14:schemeClr w14:val="tx1"/>
            </w14:solidFill>
          </w14:textFill>
        </w:rPr>
        <w:t>工程监理与审计：</w:t>
      </w:r>
      <w:r>
        <w:rPr>
          <w:rFonts w:hint="eastAsia" w:ascii="Segoe UI" w:hAnsi="Segoe UI" w:cs="Segoe UI"/>
          <w:color w:val="000000" w:themeColor="text1"/>
          <w:kern w:val="0"/>
          <w:szCs w:val="21"/>
          <w14:textFill>
            <w14:solidFill>
              <w14:schemeClr w14:val="tx1"/>
            </w14:solidFill>
          </w14:textFill>
        </w:rPr>
        <w:t>应</w:t>
      </w:r>
      <w:r>
        <w:rPr>
          <w:rFonts w:ascii="Segoe UI" w:hAnsi="Segoe UI" w:cs="Segoe UI"/>
          <w:color w:val="000000" w:themeColor="text1"/>
          <w:kern w:val="0"/>
          <w:szCs w:val="21"/>
          <w14:textFill>
            <w14:solidFill>
              <w14:schemeClr w14:val="tx1"/>
            </w14:solidFill>
          </w14:textFill>
        </w:rPr>
        <w:t>通过独立的工程监理和安全审计，对建设过程进行全程监控，及时发现并纠正安全隐患。</w:t>
      </w:r>
    </w:p>
    <w:p w14:paraId="2B7EE6B5">
      <w:pPr>
        <w:widowControl/>
        <w:shd w:val="clear" w:color="auto" w:fill="FFFFFF"/>
        <w:spacing w:line="240" w:lineRule="auto"/>
        <w:ind w:firstLine="420" w:firstLineChars="200"/>
        <w:jc w:val="left"/>
        <w:rPr>
          <w:rFonts w:ascii="Segoe UI" w:hAnsi="Segoe UI" w:cs="Segoe UI"/>
          <w:color w:val="000000" w:themeColor="text1"/>
          <w:kern w:val="0"/>
          <w:szCs w:val="21"/>
          <w14:textFill>
            <w14:solidFill>
              <w14:schemeClr w14:val="tx1"/>
            </w14:solidFill>
          </w14:textFill>
        </w:rPr>
      </w:pPr>
      <w:r>
        <w:rPr>
          <w:rFonts w:ascii="Segoe UI" w:hAnsi="Segoe UI" w:cs="Segoe UI"/>
          <w:color w:val="000000" w:themeColor="text1"/>
          <w:kern w:val="0"/>
          <w:szCs w:val="21"/>
          <w14:textFill>
            <w14:solidFill>
              <w14:schemeClr w14:val="tx1"/>
            </w14:solidFill>
          </w14:textFill>
        </w:rPr>
        <w:t>建设文档与证据保留：</w:t>
      </w:r>
      <w:r>
        <w:rPr>
          <w:rFonts w:hint="eastAsia" w:ascii="Segoe UI" w:hAnsi="Segoe UI" w:cs="Segoe UI"/>
          <w:color w:val="000000" w:themeColor="text1"/>
          <w:kern w:val="0"/>
          <w:szCs w:val="21"/>
          <w14:textFill>
            <w14:solidFill>
              <w14:schemeClr w14:val="tx1"/>
            </w14:solidFill>
          </w14:textFill>
        </w:rPr>
        <w:t>应</w:t>
      </w:r>
      <w:r>
        <w:rPr>
          <w:rFonts w:ascii="Segoe UI" w:hAnsi="Segoe UI" w:cs="Segoe UI"/>
          <w:color w:val="000000" w:themeColor="text1"/>
          <w:kern w:val="0"/>
          <w:szCs w:val="21"/>
          <w14:textFill>
            <w14:solidFill>
              <w14:schemeClr w14:val="tx1"/>
            </w14:solidFill>
          </w14:textFill>
        </w:rPr>
        <w:t>建立健全完整的项目文档管理体系，每个阶段的文档记录</w:t>
      </w:r>
      <w:r>
        <w:rPr>
          <w:rFonts w:hint="eastAsia" w:ascii="Segoe UI" w:hAnsi="Segoe UI" w:cs="Segoe UI"/>
          <w:color w:val="000000" w:themeColor="text1"/>
          <w:kern w:val="0"/>
          <w:szCs w:val="21"/>
          <w14:textFill>
            <w14:solidFill>
              <w14:schemeClr w14:val="tx1"/>
            </w14:solidFill>
          </w14:textFill>
        </w:rPr>
        <w:t>应</w:t>
      </w:r>
      <w:r>
        <w:rPr>
          <w:rFonts w:ascii="Segoe UI" w:hAnsi="Segoe UI" w:cs="Segoe UI"/>
          <w:color w:val="000000" w:themeColor="text1"/>
          <w:kern w:val="0"/>
          <w:szCs w:val="21"/>
          <w14:textFill>
            <w14:solidFill>
              <w14:schemeClr w14:val="tx1"/>
            </w14:solidFill>
          </w14:textFill>
        </w:rPr>
        <w:t>齐全、真实、可追溯，为后续的安全管理和审计提供依据。</w:t>
      </w:r>
    </w:p>
    <w:p w14:paraId="3E65741D">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117" w:name="_Toc1881335818"/>
      <w:bookmarkStart w:id="118" w:name="_Toc207032534"/>
      <w:bookmarkStart w:id="119" w:name="_Toc177137447"/>
      <w:r>
        <w:rPr>
          <w:rFonts w:ascii="黑体" w:hAnsi="黑体" w:eastAsia="黑体"/>
          <w:color w:val="000000" w:themeColor="text1"/>
          <w:szCs w:val="21"/>
          <w14:textFill>
            <w14:solidFill>
              <w14:schemeClr w14:val="tx1"/>
            </w14:solidFill>
          </w14:textFill>
        </w:rPr>
        <w:t>5</w:t>
      </w:r>
      <w:r>
        <w:rPr>
          <w:rFonts w:hint="eastAsia" w:ascii="黑体" w:hAnsi="黑体" w:eastAsia="黑体"/>
          <w:color w:val="000000" w:themeColor="text1"/>
          <w:szCs w:val="21"/>
          <w14:textFill>
            <w14:solidFill>
              <w14:schemeClr w14:val="tx1"/>
            </w14:solidFill>
          </w14:textFill>
        </w:rPr>
        <w:t>.3.3运行维护阶段</w:t>
      </w:r>
      <w:bookmarkEnd w:id="117"/>
      <w:bookmarkEnd w:id="118"/>
      <w:bookmarkEnd w:id="119"/>
    </w:p>
    <w:p w14:paraId="55244584">
      <w:pPr>
        <w:widowControl/>
        <w:shd w:val="clear" w:color="auto" w:fill="FFFFFF"/>
        <w:spacing w:line="240" w:lineRule="auto"/>
        <w:ind w:firstLine="420" w:firstLineChars="200"/>
        <w:jc w:val="left"/>
        <w:rPr>
          <w:rFonts w:ascii="Segoe UI" w:hAnsi="Segoe UI" w:cs="Segoe UI"/>
          <w:color w:val="000000" w:themeColor="text1"/>
          <w:kern w:val="0"/>
          <w:szCs w:val="21"/>
          <w14:textFill>
            <w14:solidFill>
              <w14:schemeClr w14:val="tx1"/>
            </w14:solidFill>
          </w14:textFill>
        </w:rPr>
      </w:pPr>
      <w:r>
        <w:rPr>
          <w:rFonts w:ascii="Segoe UI" w:hAnsi="Segoe UI" w:cs="Segoe UI"/>
          <w:color w:val="000000" w:themeColor="text1"/>
          <w:kern w:val="0"/>
          <w:szCs w:val="21"/>
          <w14:textFill>
            <w14:solidFill>
              <w14:schemeClr w14:val="tx1"/>
            </w14:solidFill>
          </w14:textFill>
        </w:rPr>
        <w:t>运维安全管理：在系统上线运营后，</w:t>
      </w:r>
      <w:r>
        <w:rPr>
          <w:rFonts w:hint="eastAsia" w:ascii="Segoe UI" w:hAnsi="Segoe UI" w:cs="Segoe UI"/>
          <w:color w:val="000000" w:themeColor="text1"/>
          <w:kern w:val="0"/>
          <w:szCs w:val="21"/>
          <w14:textFill>
            <w14:solidFill>
              <w14:schemeClr w14:val="tx1"/>
            </w14:solidFill>
          </w14:textFill>
        </w:rPr>
        <w:t>应</w:t>
      </w:r>
      <w:r>
        <w:rPr>
          <w:rFonts w:ascii="Segoe UI" w:hAnsi="Segoe UI" w:cs="Segoe UI"/>
          <w:color w:val="000000" w:themeColor="text1"/>
          <w:kern w:val="0"/>
          <w:szCs w:val="21"/>
          <w14:textFill>
            <w14:solidFill>
              <w14:schemeClr w14:val="tx1"/>
            </w14:solidFill>
          </w14:textFill>
        </w:rPr>
        <w:t>制定并执行日常运维安全管理策略，包括系统升级维护、漏洞管理、事件响应、应急演练、备份与恢复、资产变更管理等。</w:t>
      </w:r>
    </w:p>
    <w:p w14:paraId="6B8BAFA5">
      <w:pPr>
        <w:widowControl/>
        <w:shd w:val="clear" w:color="auto" w:fill="FFFFFF"/>
        <w:spacing w:line="240" w:lineRule="auto"/>
        <w:ind w:firstLine="420" w:firstLineChars="200"/>
        <w:jc w:val="left"/>
        <w:rPr>
          <w:rFonts w:ascii="Segoe UI" w:hAnsi="Segoe UI" w:cs="Segoe UI"/>
          <w:color w:val="000000" w:themeColor="text1"/>
          <w:kern w:val="0"/>
          <w:szCs w:val="21"/>
          <w14:textFill>
            <w14:solidFill>
              <w14:schemeClr w14:val="tx1"/>
            </w14:solidFill>
          </w14:textFill>
        </w:rPr>
      </w:pPr>
      <w:r>
        <w:rPr>
          <w:rFonts w:ascii="Segoe UI" w:hAnsi="Segoe UI" w:cs="Segoe UI"/>
          <w:color w:val="000000" w:themeColor="text1"/>
          <w:kern w:val="0"/>
          <w:szCs w:val="21"/>
          <w14:textFill>
            <w14:solidFill>
              <w14:schemeClr w14:val="tx1"/>
            </w14:solidFill>
          </w14:textFill>
        </w:rPr>
        <w:t>安全监控与审计：</w:t>
      </w:r>
      <w:r>
        <w:rPr>
          <w:rFonts w:hint="eastAsia" w:ascii="Segoe UI" w:hAnsi="Segoe UI" w:cs="Segoe UI"/>
          <w:color w:val="000000" w:themeColor="text1"/>
          <w:kern w:val="0"/>
          <w:szCs w:val="21"/>
          <w14:textFill>
            <w14:solidFill>
              <w14:schemeClr w14:val="tx1"/>
            </w14:solidFill>
          </w14:textFill>
        </w:rPr>
        <w:t>应</w:t>
      </w:r>
      <w:r>
        <w:rPr>
          <w:rFonts w:ascii="Segoe UI" w:hAnsi="Segoe UI" w:cs="Segoe UI"/>
          <w:color w:val="000000" w:themeColor="text1"/>
          <w:kern w:val="0"/>
          <w:szCs w:val="21"/>
          <w14:textFill>
            <w14:solidFill>
              <w14:schemeClr w14:val="tx1"/>
            </w14:solidFill>
          </w14:textFill>
        </w:rPr>
        <w:t>实时监控系统运行状态和安全事件，定期进行安全审计，发现并解决潜在安全问题，持续改进和优化安全措施。</w:t>
      </w:r>
    </w:p>
    <w:p w14:paraId="68DE2CD9">
      <w:pPr>
        <w:widowControl/>
        <w:shd w:val="clear" w:color="auto" w:fill="FFFFFF"/>
        <w:spacing w:line="240" w:lineRule="auto"/>
        <w:ind w:firstLine="420" w:firstLineChars="200"/>
        <w:jc w:val="left"/>
        <w:rPr>
          <w:rFonts w:ascii="Segoe UI" w:hAnsi="Segoe UI" w:cs="Segoe UI"/>
          <w:color w:val="000000" w:themeColor="text1"/>
          <w:kern w:val="0"/>
          <w:szCs w:val="21"/>
          <w14:textFill>
            <w14:solidFill>
              <w14:schemeClr w14:val="tx1"/>
            </w14:solidFill>
          </w14:textFill>
        </w:rPr>
      </w:pPr>
      <w:r>
        <w:rPr>
          <w:rFonts w:ascii="Segoe UI" w:hAnsi="Segoe UI" w:cs="Segoe UI"/>
          <w:color w:val="000000" w:themeColor="text1"/>
          <w:kern w:val="0"/>
          <w:szCs w:val="21"/>
          <w14:textFill>
            <w14:solidFill>
              <w14:schemeClr w14:val="tx1"/>
            </w14:solidFill>
          </w14:textFill>
        </w:rPr>
        <w:t>多方协同与沟通：项目涉及多方合作</w:t>
      </w:r>
      <w:r>
        <w:rPr>
          <w:rFonts w:hint="eastAsia" w:ascii="Segoe UI" w:hAnsi="Segoe UI" w:cs="Segoe UI"/>
          <w:color w:val="000000" w:themeColor="text1"/>
          <w:kern w:val="0"/>
          <w:szCs w:val="21"/>
          <w14:textFill>
            <w14:solidFill>
              <w14:schemeClr w14:val="tx1"/>
            </w14:solidFill>
          </w14:textFill>
        </w:rPr>
        <w:t>时应</w:t>
      </w:r>
      <w:r>
        <w:rPr>
          <w:rFonts w:ascii="Segoe UI" w:hAnsi="Segoe UI" w:cs="Segoe UI"/>
          <w:color w:val="000000" w:themeColor="text1"/>
          <w:kern w:val="0"/>
          <w:szCs w:val="21"/>
          <w14:textFill>
            <w14:solidFill>
              <w14:schemeClr w14:val="tx1"/>
            </w14:solidFill>
          </w14:textFill>
        </w:rPr>
        <w:t>建立有效的安全信息通报和协同机制，在发生安全事件时，各方能迅速响应并采取相应行动，共同保障系统的安全稳定运行。</w:t>
      </w:r>
    </w:p>
    <w:p w14:paraId="2E6B6DDB">
      <w:pPr>
        <w:pStyle w:val="23"/>
        <w:spacing w:before="156" w:after="156"/>
        <w:outlineLvl w:val="1"/>
        <w:rPr>
          <w:color w:val="000000" w:themeColor="text1"/>
          <w14:textFill>
            <w14:solidFill>
              <w14:schemeClr w14:val="tx1"/>
            </w14:solidFill>
          </w14:textFill>
        </w:rPr>
      </w:pPr>
      <w:bookmarkStart w:id="120" w:name="_Toc207032535"/>
      <w:r>
        <w:rPr>
          <w:color w:val="000000" w:themeColor="text1"/>
          <w14:textFill>
            <w14:solidFill>
              <w14:schemeClr w14:val="tx1"/>
            </w14:solidFill>
          </w14:textFill>
        </w:rPr>
        <w:t>5</w:t>
      </w:r>
      <w:r>
        <w:rPr>
          <w:rFonts w:hint="eastAsia"/>
          <w:color w:val="000000" w:themeColor="text1"/>
          <w14:textFill>
            <w14:solidFill>
              <w14:schemeClr w14:val="tx1"/>
            </w14:solidFill>
          </w14:textFill>
        </w:rPr>
        <w:t>.4信创要求</w:t>
      </w:r>
      <w:bookmarkEnd w:id="120"/>
    </w:p>
    <w:p w14:paraId="6A62290C">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121" w:name="_Toc207032536"/>
      <w:r>
        <w:rPr>
          <w:rFonts w:ascii="黑体" w:hAnsi="黑体" w:eastAsia="黑体"/>
          <w:color w:val="000000" w:themeColor="text1"/>
          <w:szCs w:val="21"/>
          <w14:textFill>
            <w14:solidFill>
              <w14:schemeClr w14:val="tx1"/>
            </w14:solidFill>
          </w14:textFill>
        </w:rPr>
        <w:t>5</w:t>
      </w:r>
      <w:r>
        <w:rPr>
          <w:rFonts w:hint="eastAsia" w:ascii="黑体" w:hAnsi="黑体" w:eastAsia="黑体"/>
          <w:color w:val="000000" w:themeColor="text1"/>
          <w:szCs w:val="21"/>
          <w14:textFill>
            <w14:solidFill>
              <w14:schemeClr w14:val="tx1"/>
            </w14:solidFill>
          </w14:textFill>
        </w:rPr>
        <w:t>.4.1</w:t>
      </w:r>
      <w:r>
        <w:rPr>
          <w:rFonts w:hint="eastAsia"/>
          <w:color w:val="000000" w:themeColor="text1"/>
          <w14:textFill>
            <w14:solidFill>
              <w14:schemeClr w14:val="tx1"/>
            </w14:solidFill>
          </w14:textFill>
        </w:rPr>
        <w:t>合规性</w:t>
      </w:r>
      <w:bookmarkEnd w:id="121"/>
    </w:p>
    <w:p w14:paraId="52CD9DEE">
      <w:pPr>
        <w:pStyle w:val="26"/>
        <w:numPr>
          <w:ilvl w:val="255"/>
          <w:numId w:val="0"/>
        </w:num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企业实施信创工作应接受企业主管部门指导、符合企业主管部门相关要求。</w:t>
      </w:r>
    </w:p>
    <w:p w14:paraId="353094DE">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122" w:name="_Toc207032537"/>
      <w:r>
        <w:rPr>
          <w:rFonts w:ascii="黑体" w:hAnsi="黑体" w:eastAsia="黑体"/>
          <w:color w:val="000000" w:themeColor="text1"/>
          <w:szCs w:val="21"/>
          <w14:textFill>
            <w14:solidFill>
              <w14:schemeClr w14:val="tx1"/>
            </w14:solidFill>
          </w14:textFill>
        </w:rPr>
        <w:t>5</w:t>
      </w:r>
      <w:r>
        <w:rPr>
          <w:rFonts w:hint="eastAsia" w:ascii="黑体" w:hAnsi="黑体" w:eastAsia="黑体"/>
          <w:color w:val="000000" w:themeColor="text1"/>
          <w:szCs w:val="21"/>
          <w14:textFill>
            <w14:solidFill>
              <w14:schemeClr w14:val="tx1"/>
            </w14:solidFill>
          </w14:textFill>
        </w:rPr>
        <w:t>.4.2</w:t>
      </w:r>
      <w:r>
        <w:rPr>
          <w:rFonts w:hint="eastAsia"/>
          <w:color w:val="000000" w:themeColor="text1"/>
          <w14:textFill>
            <w14:solidFill>
              <w14:schemeClr w14:val="tx1"/>
            </w14:solidFill>
          </w14:textFill>
        </w:rPr>
        <w:t>规划先行</w:t>
      </w:r>
      <w:bookmarkEnd w:id="122"/>
    </w:p>
    <w:p w14:paraId="23CBE796">
      <w:pPr>
        <w:pStyle w:val="26"/>
        <w:numPr>
          <w:ilvl w:val="255"/>
          <w:numId w:val="0"/>
        </w:num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城乡水务企业应把信创作为企业信息化及信息系统战略的重要组成部分。企业应紧密围绕信创相关政策、标准、行业实践，结合企业自身信息化建设的需求和现状，系统科学制定信创背景下的企业信息化及信息系统战略。</w:t>
      </w:r>
    </w:p>
    <w:p w14:paraId="60801E49">
      <w:pPr>
        <w:pStyle w:val="23"/>
        <w:spacing w:before="156" w:after="156"/>
        <w:outlineLvl w:val="1"/>
        <w:rPr>
          <w:color w:val="000000" w:themeColor="text1"/>
          <w14:textFill>
            <w14:solidFill>
              <w14:schemeClr w14:val="tx1"/>
            </w14:solidFill>
          </w14:textFill>
        </w:rPr>
      </w:pPr>
      <w:bookmarkStart w:id="123" w:name="_Toc207032538"/>
      <w:r>
        <w:rPr>
          <w:color w:val="000000" w:themeColor="text1"/>
          <w14:textFill>
            <w14:solidFill>
              <w14:schemeClr w14:val="tx1"/>
            </w14:solidFill>
          </w14:textFill>
        </w:rPr>
        <w:t>5</w:t>
      </w:r>
      <w:r>
        <w:rPr>
          <w:rFonts w:hint="eastAsia"/>
          <w:color w:val="000000" w:themeColor="text1"/>
          <w14:textFill>
            <w14:solidFill>
              <w14:schemeClr w14:val="tx1"/>
            </w14:solidFill>
          </w14:textFill>
        </w:rPr>
        <w:t>.5等级保护要求</w:t>
      </w:r>
      <w:bookmarkEnd w:id="123"/>
    </w:p>
    <w:p w14:paraId="2E16CA96">
      <w:pPr>
        <w:widowControl/>
        <w:spacing w:line="240" w:lineRule="auto"/>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城乡水务信息系统的安全保护等级应属于网络安全等级保护的第一级到第三级，定级参见附录A，应用系统的安全保护能力及要求应符合</w:t>
      </w:r>
      <w:r>
        <w:rPr>
          <w:rFonts w:ascii="宋体" w:hAnsi="宋体"/>
          <w:color w:val="000000" w:themeColor="text1"/>
          <w:kern w:val="0"/>
          <w:szCs w:val="21"/>
          <w14:textFill>
            <w14:solidFill>
              <w14:schemeClr w14:val="tx1"/>
            </w14:solidFill>
          </w14:textFill>
        </w:rPr>
        <w:t>GB/T 22239</w:t>
      </w:r>
      <w:r>
        <w:rPr>
          <w:rFonts w:hint="eastAsia" w:ascii="宋体" w:hAnsi="宋体"/>
          <w:color w:val="000000" w:themeColor="text1"/>
          <w:kern w:val="0"/>
          <w:szCs w:val="21"/>
          <w14:textFill>
            <w14:solidFill>
              <w14:schemeClr w14:val="tx1"/>
            </w14:solidFill>
          </w14:textFill>
        </w:rPr>
        <w:t>的规定。</w:t>
      </w:r>
    </w:p>
    <w:p w14:paraId="3B669DD5">
      <w:pPr>
        <w:widowControl/>
        <w:spacing w:line="240" w:lineRule="auto"/>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城乡水务信息系统安全保护等级应根据水务服务的对象和规模、水务服务连续性要求、系统破坏后对城市运行和社会生活的影响等因素确定，定级原理及流程应符合</w:t>
      </w:r>
      <w:r>
        <w:rPr>
          <w:rFonts w:ascii="宋体" w:hAnsi="宋体"/>
          <w:color w:val="000000" w:themeColor="text1"/>
          <w:kern w:val="0"/>
          <w:szCs w:val="21"/>
          <w14:textFill>
            <w14:solidFill>
              <w14:schemeClr w14:val="tx1"/>
            </w14:solidFill>
          </w14:textFill>
        </w:rPr>
        <w:t>GB/T 22240</w:t>
      </w:r>
      <w:r>
        <w:rPr>
          <w:rFonts w:hint="eastAsia" w:ascii="宋体" w:hAnsi="宋体"/>
          <w:color w:val="000000" w:themeColor="text1"/>
          <w:kern w:val="0"/>
          <w:szCs w:val="21"/>
          <w14:textFill>
            <w14:solidFill>
              <w14:schemeClr w14:val="tx1"/>
            </w14:solidFill>
          </w14:textFill>
        </w:rPr>
        <w:t>的规定。</w:t>
      </w:r>
    </w:p>
    <w:p w14:paraId="6AC1B6D7">
      <w:pPr>
        <w:pStyle w:val="22"/>
        <w:numPr>
          <w:ilvl w:val="1"/>
          <w:numId w:val="0"/>
        </w:numPr>
        <w:spacing w:before="312" w:beforeLines="100" w:after="312" w:afterLines="100"/>
        <w:outlineLvl w:val="0"/>
        <w:rPr>
          <w:color w:val="000000" w:themeColor="text1"/>
          <w14:textFill>
            <w14:solidFill>
              <w14:schemeClr w14:val="tx1"/>
            </w14:solidFill>
          </w14:textFill>
        </w:rPr>
      </w:pPr>
      <w:bookmarkStart w:id="124" w:name="_Toc207032539"/>
      <w:r>
        <w:rPr>
          <w:color w:val="000000" w:themeColor="text1"/>
          <w14:textFill>
            <w14:solidFill>
              <w14:schemeClr w14:val="tx1"/>
            </w14:solidFill>
          </w14:textFill>
        </w:rPr>
        <w:t>6</w:t>
      </w:r>
      <w:r>
        <w:rPr>
          <w:rFonts w:hint="eastAsia"/>
          <w:color w:val="000000" w:themeColor="text1"/>
          <w14:textFill>
            <w14:solidFill>
              <w14:schemeClr w14:val="tx1"/>
            </w14:solidFill>
          </w14:textFill>
        </w:rPr>
        <w:t xml:space="preserve">  要求</w:t>
      </w:r>
      <w:bookmarkEnd w:id="124"/>
    </w:p>
    <w:p w14:paraId="2490345E">
      <w:pPr>
        <w:pStyle w:val="23"/>
        <w:spacing w:before="156" w:after="156"/>
        <w:outlineLvl w:val="1"/>
        <w:rPr>
          <w:color w:val="000000" w:themeColor="text1"/>
          <w14:textFill>
            <w14:solidFill>
              <w14:schemeClr w14:val="tx1"/>
            </w14:solidFill>
          </w14:textFill>
        </w:rPr>
      </w:pPr>
      <w:bookmarkStart w:id="125" w:name="_Toc207032540"/>
      <w:r>
        <w:rPr>
          <w:color w:val="000000" w:themeColor="text1"/>
          <w14:textFill>
            <w14:solidFill>
              <w14:schemeClr w14:val="tx1"/>
            </w14:solidFill>
          </w14:textFill>
        </w:rPr>
        <w:t>6</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物理安全</w:t>
      </w:r>
      <w:bookmarkEnd w:id="125"/>
    </w:p>
    <w:p w14:paraId="4B35C0F5">
      <w:pPr>
        <w:spacing w:line="240" w:lineRule="auto"/>
        <w:ind w:firstLine="420" w:firstLineChars="200"/>
        <w:rPr>
          <w:rFonts w:ascii="Segoe UI" w:hAnsi="Segoe UI" w:cs="Segoe UI"/>
          <w:color w:val="000000" w:themeColor="text1"/>
          <w:shd w:val="clear" w:color="auto" w:fill="FFFFFF"/>
          <w14:textFill>
            <w14:solidFill>
              <w14:schemeClr w14:val="tx1"/>
            </w14:solidFill>
          </w14:textFill>
        </w:rPr>
      </w:pPr>
      <w:r>
        <w:rPr>
          <w:rFonts w:hint="eastAsia"/>
          <w:color w:val="000000" w:themeColor="text1"/>
          <w14:textFill>
            <w14:solidFill>
              <w14:schemeClr w14:val="tx1"/>
            </w14:solidFill>
          </w14:textFill>
        </w:rPr>
        <w:t>城乡水务信息系统物理安全措施应遵循通用原则，</w:t>
      </w:r>
      <w:r>
        <w:rPr>
          <w:rFonts w:ascii="Segoe UI" w:hAnsi="Segoe UI" w:cs="Segoe UI"/>
          <w:color w:val="000000" w:themeColor="text1"/>
          <w:shd w:val="clear" w:color="auto" w:fill="FFFFFF"/>
          <w14:textFill>
            <w14:solidFill>
              <w14:schemeClr w14:val="tx1"/>
            </w14:solidFill>
          </w14:textFill>
        </w:rPr>
        <w:t>还</w:t>
      </w:r>
      <w:r>
        <w:rPr>
          <w:rFonts w:hint="eastAsia" w:ascii="Segoe UI" w:hAnsi="Segoe UI" w:cs="Segoe UI"/>
          <w:color w:val="000000" w:themeColor="text1"/>
          <w:shd w:val="clear" w:color="auto" w:fill="FFFFFF"/>
          <w14:textFill>
            <w14:solidFill>
              <w14:schemeClr w14:val="tx1"/>
            </w14:solidFill>
          </w14:textFill>
        </w:rPr>
        <w:t>应</w:t>
      </w:r>
      <w:r>
        <w:rPr>
          <w:rFonts w:ascii="Segoe UI" w:hAnsi="Segoe UI" w:cs="Segoe UI"/>
          <w:color w:val="000000" w:themeColor="text1"/>
          <w:shd w:val="clear" w:color="auto" w:fill="FFFFFF"/>
          <w14:textFill>
            <w14:solidFill>
              <w14:schemeClr w14:val="tx1"/>
            </w14:solidFill>
          </w14:textFill>
        </w:rPr>
        <w:t>结合水务行业的特定需求，确保水处理厂、泵站、管网监控点等关键设施的物理安全，以保护水资源管理、水质监测、供水服务等核心业务的连续性和安全性。</w:t>
      </w:r>
    </w:p>
    <w:p w14:paraId="6838436E">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机房的物理和环境安全建设应按</w:t>
      </w:r>
      <w:r>
        <w:rPr>
          <w:color w:val="000000" w:themeColor="text1"/>
          <w:sz w:val="21"/>
          <w:szCs w:val="21"/>
          <w14:textFill>
            <w14:solidFill>
              <w14:schemeClr w14:val="tx1"/>
            </w14:solidFill>
          </w14:textFill>
        </w:rPr>
        <w:t>GB50174</w:t>
      </w:r>
      <w:r>
        <w:rPr>
          <w:rFonts w:hint="eastAsia"/>
          <w:color w:val="000000" w:themeColor="text1"/>
          <w:sz w:val="21"/>
          <w:szCs w:val="21"/>
          <w14:textFill>
            <w14:solidFill>
              <w14:schemeClr w14:val="tx1"/>
            </w14:solidFill>
          </w14:textFill>
        </w:rPr>
        <w:t>的规定</w:t>
      </w:r>
      <w:r>
        <w:rPr>
          <w:color w:val="000000" w:themeColor="text1"/>
          <w:sz w:val="21"/>
          <w:szCs w:val="21"/>
          <w14:textFill>
            <w14:solidFill>
              <w14:schemeClr w14:val="tx1"/>
            </w14:solidFill>
          </w14:textFill>
        </w:rPr>
        <w:t>，结合等级保护物理安全控制项的要求进行建设，</w:t>
      </w:r>
      <w:r>
        <w:rPr>
          <w:rFonts w:hint="eastAsia"/>
          <w:color w:val="000000" w:themeColor="text1"/>
          <w:sz w:val="21"/>
          <w:szCs w:val="21"/>
          <w14:textFill>
            <w14:solidFill>
              <w14:schemeClr w14:val="tx1"/>
            </w14:solidFill>
          </w14:textFill>
        </w:rPr>
        <w:t>应</w:t>
      </w:r>
      <w:r>
        <w:rPr>
          <w:color w:val="000000" w:themeColor="text1"/>
          <w:sz w:val="21"/>
          <w:szCs w:val="21"/>
          <w14:textFill>
            <w14:solidFill>
              <w14:schemeClr w14:val="tx1"/>
            </w14:solidFill>
          </w14:textFill>
        </w:rPr>
        <w:t>包括环境安全（防火、防水、防雷击等）、设备和介质的防盗窃防破坏等方面</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具体</w:t>
      </w:r>
      <w:r>
        <w:rPr>
          <w:rFonts w:hint="eastAsia"/>
          <w:color w:val="000000" w:themeColor="text1"/>
          <w:sz w:val="21"/>
          <w:szCs w:val="21"/>
          <w14:textFill>
            <w14:solidFill>
              <w14:schemeClr w14:val="tx1"/>
            </w14:solidFill>
          </w14:textFill>
        </w:rPr>
        <w:t>控制点应</w:t>
      </w:r>
      <w:r>
        <w:rPr>
          <w:color w:val="000000" w:themeColor="text1"/>
          <w:sz w:val="21"/>
          <w:szCs w:val="21"/>
          <w14:textFill>
            <w14:solidFill>
              <w14:schemeClr w14:val="tx1"/>
            </w14:solidFill>
          </w14:textFill>
        </w:rPr>
        <w:t>包括：物理位置的选择、物理访问控制、防盗窃和防破坏、防雷击、防火、防水和防潮、防静电、温湿度控制、电力供应和电磁防护等十个控制点</w:t>
      </w:r>
      <w:r>
        <w:rPr>
          <w:rFonts w:hint="eastAsia"/>
          <w:color w:val="000000" w:themeColor="text1"/>
          <w:sz w:val="21"/>
          <w:szCs w:val="21"/>
          <w14:textFill>
            <w14:solidFill>
              <w14:schemeClr w14:val="tx1"/>
            </w14:solidFill>
          </w14:textFill>
        </w:rPr>
        <w:t>。</w:t>
      </w:r>
    </w:p>
    <w:p w14:paraId="517FB74A">
      <w:pPr>
        <w:pStyle w:val="23"/>
        <w:spacing w:before="156" w:after="156"/>
        <w:outlineLvl w:val="1"/>
        <w:rPr>
          <w:color w:val="000000" w:themeColor="text1"/>
          <w14:textFill>
            <w14:solidFill>
              <w14:schemeClr w14:val="tx1"/>
            </w14:solidFill>
          </w14:textFill>
        </w:rPr>
      </w:pPr>
      <w:bookmarkStart w:id="126" w:name="_Toc207032541"/>
      <w:r>
        <w:rPr>
          <w:color w:val="000000" w:themeColor="text1"/>
          <w14:textFill>
            <w14:solidFill>
              <w14:schemeClr w14:val="tx1"/>
            </w14:solidFill>
          </w14:textFill>
        </w:rPr>
        <w:t>6</w:t>
      </w:r>
      <w:r>
        <w:rPr>
          <w:rFonts w:hint="eastAsia"/>
          <w:color w:val="000000" w:themeColor="text1"/>
          <w14:textFill>
            <w14:solidFill>
              <w14:schemeClr w14:val="tx1"/>
            </w14:solidFill>
          </w14:textFill>
        </w:rPr>
        <w:t>.2 网络安全</w:t>
      </w:r>
      <w:bookmarkEnd w:id="126"/>
    </w:p>
    <w:p w14:paraId="2BA7740A">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平台安全应确保操作系统及数据库等平台层的可用性、完整性与保密性，具体包括网络架构、通信传输、边界防护、访问控制、入侵防范共五个方面，</w:t>
      </w:r>
      <w:bookmarkStart w:id="127" w:name="OLE_LINK23"/>
      <w:bookmarkStart w:id="128" w:name="OLE_LINK22"/>
      <w:r>
        <w:rPr>
          <w:rFonts w:hint="eastAsia"/>
          <w:color w:val="000000" w:themeColor="text1"/>
          <w:sz w:val="21"/>
          <w:szCs w:val="21"/>
          <w14:textFill>
            <w14:solidFill>
              <w14:schemeClr w14:val="tx1"/>
            </w14:solidFill>
          </w14:textFill>
        </w:rPr>
        <w:t>并应符合下列要求。</w:t>
      </w:r>
      <w:bookmarkEnd w:id="127"/>
      <w:bookmarkEnd w:id="128"/>
    </w:p>
    <w:p w14:paraId="521B7B86">
      <w:pPr>
        <w:pStyle w:val="26"/>
        <w:numPr>
          <w:ilvl w:val="0"/>
          <w:numId w:val="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网络架构方面</w:t>
      </w:r>
      <w:bookmarkStart w:id="129" w:name="OLE_LINK21"/>
      <w:r>
        <w:rPr>
          <w:rFonts w:hint="eastAsia"/>
          <w:color w:val="000000" w:themeColor="text1"/>
          <w14:textFill>
            <w14:solidFill>
              <w14:schemeClr w14:val="tx1"/>
            </w14:solidFill>
          </w14:textFill>
        </w:rPr>
        <w:t>的要求应包括：</w:t>
      </w:r>
      <w:bookmarkEnd w:id="129"/>
    </w:p>
    <w:p w14:paraId="035E9FFF">
      <w:pPr>
        <w:pStyle w:val="12"/>
        <w:numPr>
          <w:ilvl w:val="0"/>
          <w:numId w:val="4"/>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应划分不同的网络区域，并按照方便管理与控制的原则为各网络区域分配地址；</w:t>
      </w:r>
    </w:p>
    <w:p w14:paraId="602CA4B8">
      <w:pPr>
        <w:pStyle w:val="12"/>
        <w:numPr>
          <w:ilvl w:val="0"/>
          <w:numId w:val="4"/>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宜提供通信线路、关键网络设备等冗余，以保证系统的高可用性；</w:t>
      </w:r>
    </w:p>
    <w:p w14:paraId="2BB811B1">
      <w:pPr>
        <w:pStyle w:val="12"/>
        <w:numPr>
          <w:ilvl w:val="0"/>
          <w:numId w:val="4"/>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工业控制系统与其他系统之间应划分为两个区域，并采用技术隔离手段；</w:t>
      </w:r>
    </w:p>
    <w:p w14:paraId="4F8B8DE3">
      <w:pPr>
        <w:pStyle w:val="12"/>
        <w:numPr>
          <w:ilvl w:val="0"/>
          <w:numId w:val="4"/>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涉及实时控制与数据传输的工业控制系统，应使用独立的设备组网。</w:t>
      </w:r>
    </w:p>
    <w:p w14:paraId="37CF2E75">
      <w:pPr>
        <w:pStyle w:val="26"/>
        <w:numPr>
          <w:ilvl w:val="0"/>
          <w:numId w:val="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通信传输方面的要求应包括：</w:t>
      </w:r>
    </w:p>
    <w:p w14:paraId="2236150C">
      <w:pPr>
        <w:pStyle w:val="12"/>
        <w:numPr>
          <w:ilvl w:val="0"/>
          <w:numId w:val="5"/>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应采用校验技术或密码技术保证通信过程中数据的完整性；</w:t>
      </w:r>
    </w:p>
    <w:p w14:paraId="0FD23F56">
      <w:pPr>
        <w:pStyle w:val="12"/>
        <w:numPr>
          <w:ilvl w:val="0"/>
          <w:numId w:val="5"/>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宜采用密码技术保证通信过程中数据的保密性。</w:t>
      </w:r>
    </w:p>
    <w:p w14:paraId="0FD46EC8">
      <w:pPr>
        <w:pStyle w:val="26"/>
        <w:numPr>
          <w:ilvl w:val="0"/>
          <w:numId w:val="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边界防护方面的要求应包括：</w:t>
      </w:r>
    </w:p>
    <w:p w14:paraId="63AAAC65">
      <w:pPr>
        <w:pStyle w:val="12"/>
        <w:spacing w:before="0" w:beforeAutospacing="0" w:after="0" w:afterAutospacing="0" w:line="240" w:lineRule="auto"/>
        <w:ind w:left="420" w:leftChars="200"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跨越边界的访问和数据流应通过边界设备提供的受控端口进行通信。</w:t>
      </w:r>
    </w:p>
    <w:p w14:paraId="25A4924F">
      <w:pPr>
        <w:pStyle w:val="26"/>
        <w:numPr>
          <w:ilvl w:val="0"/>
          <w:numId w:val="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访问控制方面的要求应包括：</w:t>
      </w:r>
    </w:p>
    <w:p w14:paraId="358D9E97">
      <w:pPr>
        <w:pStyle w:val="12"/>
        <w:numPr>
          <w:ilvl w:val="0"/>
          <w:numId w:val="6"/>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应在网络边界或区域之间根据访问控制策略设置访问控制规则，默认情况下除允许通信外受控端口拒绝所有通信；</w:t>
      </w:r>
    </w:p>
    <w:p w14:paraId="1509E20C">
      <w:pPr>
        <w:pStyle w:val="12"/>
        <w:numPr>
          <w:ilvl w:val="0"/>
          <w:numId w:val="6"/>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应对源地址、目的地址、源端口、目的端口和协议进行检查，以允许/拒绝数据包进出。</w:t>
      </w:r>
    </w:p>
    <w:p w14:paraId="37319C02">
      <w:pPr>
        <w:pStyle w:val="26"/>
        <w:numPr>
          <w:ilvl w:val="0"/>
          <w:numId w:val="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入侵防范方面</w:t>
      </w:r>
      <w:bookmarkStart w:id="130" w:name="OLE_LINK24"/>
      <w:bookmarkStart w:id="131" w:name="OLE_LINK25"/>
      <w:r>
        <w:rPr>
          <w:rFonts w:hint="eastAsia"/>
          <w:color w:val="000000" w:themeColor="text1"/>
          <w14:textFill>
            <w14:solidFill>
              <w14:schemeClr w14:val="tx1"/>
            </w14:solidFill>
          </w14:textFill>
        </w:rPr>
        <w:t>的要求</w:t>
      </w:r>
      <w:bookmarkStart w:id="132" w:name="OLE_LINK35"/>
      <w:bookmarkStart w:id="133" w:name="OLE_LINK34"/>
      <w:r>
        <w:rPr>
          <w:rFonts w:hint="eastAsia"/>
          <w:color w:val="000000" w:themeColor="text1"/>
          <w14:textFill>
            <w14:solidFill>
              <w14:schemeClr w14:val="tx1"/>
            </w14:solidFill>
          </w14:textFill>
        </w:rPr>
        <w:t>应</w:t>
      </w:r>
      <w:bookmarkEnd w:id="132"/>
      <w:bookmarkEnd w:id="133"/>
      <w:r>
        <w:rPr>
          <w:rFonts w:hint="eastAsia"/>
          <w:color w:val="000000" w:themeColor="text1"/>
          <w14:textFill>
            <w14:solidFill>
              <w14:schemeClr w14:val="tx1"/>
            </w14:solidFill>
          </w14:textFill>
        </w:rPr>
        <w:t>包括：</w:t>
      </w:r>
      <w:bookmarkEnd w:id="130"/>
      <w:bookmarkEnd w:id="131"/>
    </w:p>
    <w:p w14:paraId="053AD4AB">
      <w:pPr>
        <w:pStyle w:val="12"/>
        <w:numPr>
          <w:ilvl w:val="0"/>
          <w:numId w:val="7"/>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应在关键网络节点处检测、防止或限制从外部和内部发起的网络攻击行为；</w:t>
      </w:r>
    </w:p>
    <w:p w14:paraId="3CFD52BA">
      <w:pPr>
        <w:pStyle w:val="12"/>
        <w:numPr>
          <w:ilvl w:val="0"/>
          <w:numId w:val="7"/>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宜采用技术手段对网络行为进行分析，实现对网络攻击的分析；</w:t>
      </w:r>
    </w:p>
    <w:p w14:paraId="5D5B82A9">
      <w:pPr>
        <w:pStyle w:val="12"/>
        <w:numPr>
          <w:ilvl w:val="0"/>
          <w:numId w:val="7"/>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当检测到攻击行为时，应记录源IP、攻击类型、攻击目标、攻击时间，在发生严重入侵时提供报警。</w:t>
      </w:r>
    </w:p>
    <w:p w14:paraId="1AB0661D">
      <w:pPr>
        <w:pStyle w:val="23"/>
        <w:spacing w:before="156" w:after="156"/>
        <w:outlineLvl w:val="1"/>
        <w:rPr>
          <w:color w:val="000000" w:themeColor="text1"/>
          <w14:textFill>
            <w14:solidFill>
              <w14:schemeClr w14:val="tx1"/>
            </w14:solidFill>
          </w14:textFill>
        </w:rPr>
      </w:pPr>
      <w:bookmarkStart w:id="134" w:name="_Toc207032542"/>
      <w:r>
        <w:rPr>
          <w:color w:val="000000" w:themeColor="text1"/>
          <w14:textFill>
            <w14:solidFill>
              <w14:schemeClr w14:val="tx1"/>
            </w14:solidFill>
          </w14:textFill>
        </w:rPr>
        <w:t>6</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应用安全</w:t>
      </w:r>
      <w:bookmarkEnd w:id="134"/>
    </w:p>
    <w:p w14:paraId="7C4A1C68">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应用安全应保证应用系统本身的可用性、完整性和安全性，并应符合下列要求。</w:t>
      </w:r>
    </w:p>
    <w:p w14:paraId="4230B2A0">
      <w:pPr>
        <w:pStyle w:val="26"/>
        <w:numPr>
          <w:ilvl w:val="0"/>
          <w:numId w:val="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认证与授权方面的要求包括：</w:t>
      </w:r>
    </w:p>
    <w:p w14:paraId="61416CE1">
      <w:pPr>
        <w:pStyle w:val="12"/>
        <w:numPr>
          <w:ilvl w:val="0"/>
          <w:numId w:val="9"/>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应支持基于</w:t>
      </w:r>
      <w:bookmarkStart w:id="135" w:name="_Hlk205979079"/>
      <w:r>
        <w:rPr>
          <w:rFonts w:hint="eastAsia"/>
          <w:color w:val="000000" w:themeColor="text1"/>
          <w:sz w:val="21"/>
          <w:szCs w:val="21"/>
          <w14:textFill>
            <w14:solidFill>
              <w14:schemeClr w14:val="tx1"/>
            </w14:solidFill>
          </w14:textFill>
        </w:rPr>
        <w:t>RBAC</w:t>
      </w:r>
      <w:bookmarkEnd w:id="135"/>
      <w:r>
        <w:rPr>
          <w:rFonts w:hint="eastAsia"/>
          <w:color w:val="000000" w:themeColor="text1"/>
          <w:sz w:val="21"/>
          <w:szCs w:val="21"/>
          <w14:textFill>
            <w14:solidFill>
              <w14:schemeClr w14:val="tx1"/>
            </w14:solidFill>
          </w14:textFill>
        </w:rPr>
        <w:t>机制；</w:t>
      </w:r>
    </w:p>
    <w:p w14:paraId="25FADBE4">
      <w:pPr>
        <w:pStyle w:val="12"/>
        <w:numPr>
          <w:ilvl w:val="0"/>
          <w:numId w:val="9"/>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应采用最小权限原则（默认不授权，非显式要求无权限）；</w:t>
      </w:r>
    </w:p>
    <w:p w14:paraId="23D27FBD">
      <w:pPr>
        <w:pStyle w:val="12"/>
        <w:numPr>
          <w:ilvl w:val="0"/>
          <w:numId w:val="9"/>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宜支持物理特征的安全认证机制。</w:t>
      </w:r>
    </w:p>
    <w:p w14:paraId="5D7B3B31">
      <w:pPr>
        <w:pStyle w:val="26"/>
        <w:numPr>
          <w:ilvl w:val="0"/>
          <w:numId w:val="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入侵防范方面的要求包括：</w:t>
      </w:r>
    </w:p>
    <w:p w14:paraId="5B9AB638">
      <w:pPr>
        <w:pStyle w:val="12"/>
        <w:spacing w:before="0" w:beforeAutospacing="0" w:after="0" w:afterAutospacing="0" w:line="240" w:lineRule="auto"/>
        <w:ind w:left="420" w:leftChars="200"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应采取防护SQL注入、Re</w:t>
      </w:r>
      <w:r>
        <w:rPr>
          <w:color w:val="000000" w:themeColor="text1"/>
          <w:sz w:val="21"/>
          <w:szCs w:val="21"/>
          <w14:textFill>
            <w14:solidFill>
              <w14:schemeClr w14:val="tx1"/>
            </w14:solidFill>
          </w14:textFill>
        </w:rPr>
        <w:t>DOS</w:t>
      </w:r>
      <w:r>
        <w:rPr>
          <w:rFonts w:hint="eastAsia"/>
          <w:color w:val="000000" w:themeColor="text1"/>
          <w:sz w:val="21"/>
          <w:szCs w:val="21"/>
          <w14:textFill>
            <w14:solidFill>
              <w14:schemeClr w14:val="tx1"/>
            </w14:solidFill>
          </w14:textFill>
        </w:rPr>
        <w:t>攻击、XSS攻击、CSRF攻击等安全威胁的措施。</w:t>
      </w:r>
    </w:p>
    <w:p w14:paraId="594D6001">
      <w:pPr>
        <w:pStyle w:val="26"/>
        <w:numPr>
          <w:ilvl w:val="0"/>
          <w:numId w:val="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安全审计方面</w:t>
      </w:r>
      <w:bookmarkStart w:id="136" w:name="OLE_LINK26"/>
      <w:bookmarkStart w:id="137" w:name="OLE_LINK27"/>
      <w:r>
        <w:rPr>
          <w:rFonts w:hint="eastAsia"/>
          <w:color w:val="000000" w:themeColor="text1"/>
          <w14:textFill>
            <w14:solidFill>
              <w14:schemeClr w14:val="tx1"/>
            </w14:solidFill>
          </w14:textFill>
        </w:rPr>
        <w:t>的要求包括：</w:t>
      </w:r>
      <w:bookmarkEnd w:id="136"/>
      <w:bookmarkEnd w:id="137"/>
    </w:p>
    <w:p w14:paraId="0868E227">
      <w:pPr>
        <w:pStyle w:val="12"/>
        <w:spacing w:before="0" w:beforeAutospacing="0" w:after="0" w:afterAutospacing="0" w:line="240" w:lineRule="auto"/>
        <w:ind w:left="420" w:leftChars="200"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应支持安全日志管理、安全审计等特性。</w:t>
      </w:r>
    </w:p>
    <w:p w14:paraId="3AB8B933">
      <w:pPr>
        <w:pStyle w:val="23"/>
        <w:spacing w:before="156" w:after="156"/>
        <w:outlineLvl w:val="1"/>
        <w:rPr>
          <w:color w:val="000000" w:themeColor="text1"/>
          <w14:textFill>
            <w14:solidFill>
              <w14:schemeClr w14:val="tx1"/>
            </w14:solidFill>
          </w14:textFill>
        </w:rPr>
      </w:pPr>
      <w:bookmarkStart w:id="138" w:name="_Toc207032543"/>
      <w:r>
        <w:rPr>
          <w:color w:val="000000" w:themeColor="text1"/>
          <w14:textFill>
            <w14:solidFill>
              <w14:schemeClr w14:val="tx1"/>
            </w14:solidFill>
          </w14:textFill>
        </w:rPr>
        <w:t>6</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基础设施安全</w:t>
      </w:r>
      <w:bookmarkEnd w:id="138"/>
    </w:p>
    <w:p w14:paraId="5BA5BADC">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基础设施安全包括机房及内部设备的安全、位于生产现场的工业感知与控制设备的安全。具体要求应包括下列内容。</w:t>
      </w:r>
    </w:p>
    <w:p w14:paraId="7FFE61E2">
      <w:pPr>
        <w:pStyle w:val="12"/>
        <w:numPr>
          <w:ilvl w:val="0"/>
          <w:numId w:val="10"/>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机房及内部设备的安全方面</w:t>
      </w:r>
      <w:bookmarkStart w:id="139" w:name="OLE_LINK29"/>
      <w:bookmarkStart w:id="140" w:name="OLE_LINK28"/>
      <w:r>
        <w:rPr>
          <w:rFonts w:hint="eastAsia"/>
          <w:color w:val="000000" w:themeColor="text1"/>
          <w:sz w:val="21"/>
          <w:szCs w:val="21"/>
          <w14:textFill>
            <w14:solidFill>
              <w14:schemeClr w14:val="tx1"/>
            </w14:solidFill>
          </w14:textFill>
        </w:rPr>
        <w:t>的要求应包括：</w:t>
      </w:r>
      <w:bookmarkEnd w:id="139"/>
      <w:bookmarkEnd w:id="140"/>
    </w:p>
    <w:p w14:paraId="5CFE24BE">
      <w:pPr>
        <w:pStyle w:val="12"/>
        <w:numPr>
          <w:ilvl w:val="0"/>
          <w:numId w:val="11"/>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机房应选择在具有防震、防风、防雨能力的建筑内；</w:t>
      </w:r>
    </w:p>
    <w:p w14:paraId="1CD480CA">
      <w:pPr>
        <w:pStyle w:val="12"/>
        <w:numPr>
          <w:ilvl w:val="0"/>
          <w:numId w:val="11"/>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机房出入口应设置电子门禁系统，控制、鉴别与记录进出的人员；</w:t>
      </w:r>
    </w:p>
    <w:p w14:paraId="1F5D9136">
      <w:pPr>
        <w:pStyle w:val="12"/>
        <w:numPr>
          <w:ilvl w:val="0"/>
          <w:numId w:val="11"/>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应将设备与主要部件进行固定，并设置明显的不易去除的标识；</w:t>
      </w:r>
    </w:p>
    <w:p w14:paraId="63989790">
      <w:pPr>
        <w:pStyle w:val="12"/>
        <w:numPr>
          <w:ilvl w:val="0"/>
          <w:numId w:val="11"/>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应将机柜、设施与设备等通过接地系统安全接地；</w:t>
      </w:r>
    </w:p>
    <w:p w14:paraId="6FFB4C12">
      <w:pPr>
        <w:pStyle w:val="12"/>
        <w:numPr>
          <w:ilvl w:val="0"/>
          <w:numId w:val="11"/>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宜设置防雷保安器或过压保护装置等预防雷击；</w:t>
      </w:r>
    </w:p>
    <w:p w14:paraId="16A249CD">
      <w:pPr>
        <w:pStyle w:val="12"/>
        <w:numPr>
          <w:ilvl w:val="0"/>
          <w:numId w:val="11"/>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应采取物理手段进行防火、防水、防潮；</w:t>
      </w:r>
    </w:p>
    <w:p w14:paraId="6AF5E94E">
      <w:pPr>
        <w:pStyle w:val="12"/>
        <w:numPr>
          <w:ilvl w:val="0"/>
          <w:numId w:val="11"/>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应在机房供电线路上配置稳压器和过电压防护设备；</w:t>
      </w:r>
    </w:p>
    <w:p w14:paraId="77043923">
      <w:pPr>
        <w:pStyle w:val="12"/>
        <w:numPr>
          <w:ilvl w:val="0"/>
          <w:numId w:val="11"/>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宜配置UPS等提供备用电力供应；</w:t>
      </w:r>
    </w:p>
    <w:p w14:paraId="7810F1D1">
      <w:pPr>
        <w:pStyle w:val="12"/>
        <w:numPr>
          <w:ilvl w:val="0"/>
          <w:numId w:val="11"/>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宜设置冗余或并行的电力电缆线路为机房内设备供电；</w:t>
      </w:r>
    </w:p>
    <w:p w14:paraId="3D19D3BD">
      <w:pPr>
        <w:pStyle w:val="12"/>
        <w:numPr>
          <w:ilvl w:val="0"/>
          <w:numId w:val="11"/>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应隔离铺设电源线和通信线缆，避免电磁干扰。</w:t>
      </w:r>
    </w:p>
    <w:p w14:paraId="0DB31B47">
      <w:pPr>
        <w:pStyle w:val="12"/>
        <w:numPr>
          <w:ilvl w:val="0"/>
          <w:numId w:val="10"/>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感知与控制设备应放置于采用铁板或其他防火材料的箱体或装置内紧固，且箱体或装置应透风、散热、防盗、防雨、防火等。</w:t>
      </w:r>
    </w:p>
    <w:p w14:paraId="2B2A2A51">
      <w:pPr>
        <w:pStyle w:val="23"/>
        <w:spacing w:before="156" w:after="156"/>
        <w:outlineLvl w:val="1"/>
        <w:rPr>
          <w:color w:val="000000" w:themeColor="text1"/>
          <w14:textFill>
            <w14:solidFill>
              <w14:schemeClr w14:val="tx1"/>
            </w14:solidFill>
          </w14:textFill>
        </w:rPr>
      </w:pPr>
      <w:bookmarkStart w:id="141" w:name="_Toc207032544"/>
      <w:r>
        <w:rPr>
          <w:color w:val="000000" w:themeColor="text1"/>
          <w14:textFill>
            <w14:solidFill>
              <w14:schemeClr w14:val="tx1"/>
            </w14:solidFill>
          </w14:textFill>
        </w:rPr>
        <w:t>6</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数据安全</w:t>
      </w:r>
      <w:bookmarkEnd w:id="141"/>
    </w:p>
    <w:p w14:paraId="512B087F">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142" w:name="_Toc207032545"/>
      <w:r>
        <w:rPr>
          <w:rFonts w:ascii="黑体" w:hAnsi="黑体" w:eastAsia="黑体"/>
          <w:color w:val="000000" w:themeColor="text1"/>
          <w:szCs w:val="21"/>
          <w14:textFill>
            <w14:solidFill>
              <w14:schemeClr w14:val="tx1"/>
            </w14:solidFill>
          </w14:textFill>
        </w:rPr>
        <w:t>6.</w:t>
      </w:r>
      <w:r>
        <w:rPr>
          <w:rFonts w:hint="eastAsia" w:ascii="黑体" w:hAnsi="黑体" w:eastAsia="黑体"/>
          <w:color w:val="000000" w:themeColor="text1"/>
          <w:szCs w:val="21"/>
          <w14:textFill>
            <w14:solidFill>
              <w14:schemeClr w14:val="tx1"/>
            </w14:solidFill>
          </w14:textFill>
        </w:rPr>
        <w:t>5.</w:t>
      </w:r>
      <w:r>
        <w:rPr>
          <w:rFonts w:ascii="黑体" w:hAnsi="黑体" w:eastAsia="黑体"/>
          <w:color w:val="000000" w:themeColor="text1"/>
          <w:szCs w:val="21"/>
          <w14:textFill>
            <w14:solidFill>
              <w14:schemeClr w14:val="tx1"/>
            </w14:solidFill>
          </w14:textFill>
        </w:rPr>
        <w:t xml:space="preserve">1 </w:t>
      </w:r>
      <w:r>
        <w:rPr>
          <w:rFonts w:hint="eastAsia" w:ascii="黑体" w:hAnsi="黑体" w:eastAsia="黑体"/>
          <w:color w:val="000000" w:themeColor="text1"/>
          <w:szCs w:val="21"/>
          <w14:textFill>
            <w14:solidFill>
              <w14:schemeClr w14:val="tx1"/>
            </w14:solidFill>
          </w14:textFill>
        </w:rPr>
        <w:t>通则</w:t>
      </w:r>
      <w:bookmarkEnd w:id="142"/>
    </w:p>
    <w:p w14:paraId="0BA62FC2">
      <w:pPr>
        <w:pStyle w:val="26"/>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数据采集、存储、处理、交换、销毁和备份，每个环节都会遭遇不同的风险，要针对每个步骤实施相应的安全技术，保障数据生命周期安全。</w:t>
      </w:r>
    </w:p>
    <w:p w14:paraId="0182E026">
      <w:pPr>
        <w:pStyle w:val="26"/>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水务行业数据分类分级应符合</w:t>
      </w:r>
      <w:bookmarkStart w:id="143" w:name="_Hlk195177863"/>
      <w:r>
        <w:rPr>
          <w:rFonts w:hint="eastAsia" w:hAnsi="宋体"/>
          <w:color w:val="000000" w:themeColor="text1"/>
          <w:szCs w:val="21"/>
          <w14:textFill>
            <w14:solidFill>
              <w14:schemeClr w14:val="tx1"/>
            </w14:solidFill>
          </w14:textFill>
        </w:rPr>
        <w:t>GB/T 43697</w:t>
      </w:r>
      <w:bookmarkEnd w:id="143"/>
      <w:r>
        <w:rPr>
          <w:rFonts w:hint="eastAsia" w:hAnsi="宋体"/>
          <w:color w:val="000000" w:themeColor="text1"/>
          <w:szCs w:val="21"/>
          <w14:textFill>
            <w14:solidFill>
              <w14:schemeClr w14:val="tx1"/>
            </w14:solidFill>
          </w14:textFill>
        </w:rPr>
        <w:t>的规定，附录B给出了水务行业数据分类分级参考。</w:t>
      </w:r>
    </w:p>
    <w:p w14:paraId="14DDCDE6">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144" w:name="_Toc207032546"/>
      <w:bookmarkStart w:id="145" w:name="_Toc487602595"/>
      <w:bookmarkStart w:id="146" w:name="_Toc177137459"/>
      <w:bookmarkStart w:id="147" w:name="_Hlk206000266"/>
      <w:r>
        <w:rPr>
          <w:rFonts w:ascii="黑体" w:hAnsi="黑体" w:eastAsia="黑体"/>
          <w:color w:val="000000" w:themeColor="text1"/>
          <w:szCs w:val="21"/>
          <w14:textFill>
            <w14:solidFill>
              <w14:schemeClr w14:val="tx1"/>
            </w14:solidFill>
          </w14:textFill>
        </w:rPr>
        <w:t>6.</w:t>
      </w:r>
      <w:r>
        <w:rPr>
          <w:rFonts w:hint="eastAsia" w:ascii="黑体" w:hAnsi="黑体" w:eastAsia="黑体"/>
          <w:color w:val="000000" w:themeColor="text1"/>
          <w:szCs w:val="21"/>
          <w14:textFill>
            <w14:solidFill>
              <w14:schemeClr w14:val="tx1"/>
            </w14:solidFill>
          </w14:textFill>
        </w:rPr>
        <w:t>5.</w:t>
      </w:r>
      <w:r>
        <w:rPr>
          <w:rFonts w:ascii="黑体" w:hAnsi="黑体" w:eastAsia="黑体"/>
          <w:color w:val="000000" w:themeColor="text1"/>
          <w:szCs w:val="21"/>
          <w14:textFill>
            <w14:solidFill>
              <w14:schemeClr w14:val="tx1"/>
            </w14:solidFill>
          </w14:textFill>
        </w:rPr>
        <w:t xml:space="preserve">2 </w:t>
      </w:r>
      <w:r>
        <w:rPr>
          <w:rFonts w:hint="eastAsia" w:ascii="黑体" w:hAnsi="黑体" w:eastAsia="黑体"/>
          <w:color w:val="000000" w:themeColor="text1"/>
          <w:szCs w:val="21"/>
          <w14:textFill>
            <w14:solidFill>
              <w14:schemeClr w14:val="tx1"/>
            </w14:solidFill>
          </w14:textFill>
        </w:rPr>
        <w:t>数据采集</w:t>
      </w:r>
      <w:bookmarkEnd w:id="144"/>
      <w:bookmarkEnd w:id="145"/>
      <w:bookmarkEnd w:id="146"/>
    </w:p>
    <w:bookmarkEnd w:id="147"/>
    <w:p w14:paraId="1C30BDF6">
      <w:pPr>
        <w:widowControl/>
        <w:spacing w:line="240" w:lineRule="auto"/>
        <w:ind w:firstLine="420" w:firstLineChars="200"/>
        <w:rPr>
          <w:rFonts w:ascii="宋体"/>
          <w:color w:val="000000" w:themeColor="text1"/>
          <w:kern w:val="0"/>
          <w:szCs w:val="20"/>
          <w14:textFill>
            <w14:solidFill>
              <w14:schemeClr w14:val="tx1"/>
            </w14:solidFill>
          </w14:textFill>
          <w14:ligatures w14:val="standardContextual"/>
        </w:rPr>
      </w:pPr>
      <w:r>
        <w:rPr>
          <w:rFonts w:ascii="宋体"/>
          <w:color w:val="000000" w:themeColor="text1"/>
          <w:kern w:val="0"/>
          <w:szCs w:val="20"/>
          <w14:textFill>
            <w14:solidFill>
              <w14:schemeClr w14:val="tx1"/>
            </w14:solidFill>
          </w14:textFill>
          <w14:ligatures w14:val="standardContextual"/>
        </w:rPr>
        <w:t>开展数据采集活动时，安全要求</w:t>
      </w:r>
      <w:r>
        <w:rPr>
          <w:rFonts w:hint="eastAsia" w:ascii="宋体"/>
          <w:color w:val="000000" w:themeColor="text1"/>
          <w:kern w:val="0"/>
          <w:szCs w:val="20"/>
          <w14:textFill>
            <w14:solidFill>
              <w14:schemeClr w14:val="tx1"/>
            </w14:solidFill>
          </w14:textFill>
          <w14:ligatures w14:val="standardContextual"/>
        </w:rPr>
        <w:t>应</w:t>
      </w:r>
      <w:r>
        <w:rPr>
          <w:rFonts w:ascii="宋体"/>
          <w:color w:val="000000" w:themeColor="text1"/>
          <w:kern w:val="0"/>
          <w:szCs w:val="20"/>
          <w14:textFill>
            <w14:solidFill>
              <w14:schemeClr w14:val="tx1"/>
            </w14:solidFill>
          </w14:textFill>
          <w14:ligatures w14:val="standardContextual"/>
        </w:rPr>
        <w:t>包括但不限于</w:t>
      </w:r>
      <w:bookmarkStart w:id="148" w:name="OLE_LINK30"/>
      <w:bookmarkStart w:id="149" w:name="OLE_LINK31"/>
      <w:r>
        <w:rPr>
          <w:rFonts w:hint="eastAsia" w:ascii="宋体"/>
          <w:color w:val="000000" w:themeColor="text1"/>
          <w:kern w:val="0"/>
          <w:szCs w:val="20"/>
          <w14:textFill>
            <w14:solidFill>
              <w14:schemeClr w14:val="tx1"/>
            </w14:solidFill>
          </w14:textFill>
          <w14:ligatures w14:val="standardContextual"/>
        </w:rPr>
        <w:t>下列内容</w:t>
      </w:r>
      <w:bookmarkEnd w:id="148"/>
      <w:bookmarkEnd w:id="149"/>
      <w:r>
        <w:rPr>
          <w:rFonts w:ascii="宋体"/>
          <w:color w:val="000000" w:themeColor="text1"/>
          <w:kern w:val="0"/>
          <w:szCs w:val="20"/>
          <w14:textFill>
            <w14:solidFill>
              <w14:schemeClr w14:val="tx1"/>
            </w14:solidFill>
          </w14:textFill>
          <w14:ligatures w14:val="standardContextual"/>
        </w:rPr>
        <w:t>：</w:t>
      </w:r>
    </w:p>
    <w:p w14:paraId="14F43756">
      <w:pPr>
        <w:pStyle w:val="26"/>
        <w:numPr>
          <w:ilvl w:val="0"/>
          <w:numId w:val="12"/>
        </w:numPr>
        <w:ind w:firstLineChars="0"/>
        <w:rPr>
          <w:color w:val="000000" w:themeColor="text1"/>
          <w14:textFill>
            <w14:solidFill>
              <w14:schemeClr w14:val="tx1"/>
            </w14:solidFill>
          </w14:textFill>
        </w:rPr>
      </w:pPr>
      <w:r>
        <w:rPr>
          <w:color w:val="000000" w:themeColor="text1"/>
          <w14:textFill>
            <w14:solidFill>
              <w14:schemeClr w14:val="tx1"/>
            </w14:solidFill>
          </w14:textFill>
        </w:rPr>
        <w:t>定义采集数据的目的和用途，明确数据采集源和采集数据范围</w:t>
      </w:r>
      <w:r>
        <w:rPr>
          <w:rFonts w:hint="eastAsia"/>
          <w:color w:val="000000" w:themeColor="text1"/>
          <w14:textFill>
            <w14:solidFill>
              <w14:schemeClr w14:val="tx1"/>
            </w14:solidFill>
          </w14:textFill>
        </w:rPr>
        <w:t>。</w:t>
      </w:r>
    </w:p>
    <w:p w14:paraId="77FB9978">
      <w:pPr>
        <w:pStyle w:val="26"/>
        <w:numPr>
          <w:ilvl w:val="0"/>
          <w:numId w:val="12"/>
        </w:numPr>
        <w:ind w:firstLineChars="0"/>
        <w:rPr>
          <w:color w:val="000000" w:themeColor="text1"/>
          <w14:textFill>
            <w14:solidFill>
              <w14:schemeClr w14:val="tx1"/>
            </w14:solidFill>
          </w14:textFill>
        </w:rPr>
      </w:pPr>
      <w:r>
        <w:rPr>
          <w:color w:val="000000" w:themeColor="text1"/>
          <w14:textFill>
            <w14:solidFill>
              <w14:schemeClr w14:val="tx1"/>
            </w14:solidFill>
          </w14:textFill>
        </w:rPr>
        <w:t>遵循合规原则，确保数据采集的合法性、正当性和必要性</w:t>
      </w:r>
      <w:r>
        <w:rPr>
          <w:rFonts w:hint="eastAsia"/>
          <w:color w:val="000000" w:themeColor="text1"/>
          <w14:textFill>
            <w14:solidFill>
              <w14:schemeClr w14:val="tx1"/>
            </w14:solidFill>
          </w14:textFill>
        </w:rPr>
        <w:t>。</w:t>
      </w:r>
    </w:p>
    <w:p w14:paraId="0A3B9422">
      <w:pPr>
        <w:pStyle w:val="26"/>
        <w:numPr>
          <w:ilvl w:val="0"/>
          <w:numId w:val="12"/>
        </w:numPr>
        <w:ind w:firstLineChars="0"/>
        <w:rPr>
          <w:color w:val="000000" w:themeColor="text1"/>
          <w14:textFill>
            <w14:solidFill>
              <w14:schemeClr w14:val="tx1"/>
            </w14:solidFill>
          </w14:textFill>
        </w:rPr>
      </w:pPr>
      <w:r>
        <w:rPr>
          <w:color w:val="000000" w:themeColor="text1"/>
          <w14:textFill>
            <w14:solidFill>
              <w14:schemeClr w14:val="tx1"/>
            </w14:solidFill>
          </w14:textFill>
        </w:rPr>
        <w:t>遵循质量保障原则，制定数据质量保障的策略、规程和要求</w:t>
      </w:r>
      <w:r>
        <w:rPr>
          <w:rFonts w:hint="eastAsia"/>
          <w:color w:val="000000" w:themeColor="text1"/>
          <w14:textFill>
            <w14:solidFill>
              <w14:schemeClr w14:val="tx1"/>
            </w14:solidFill>
          </w14:textFill>
        </w:rPr>
        <w:t>。</w:t>
      </w:r>
    </w:p>
    <w:p w14:paraId="2AAE9E11">
      <w:pPr>
        <w:pStyle w:val="26"/>
        <w:numPr>
          <w:ilvl w:val="0"/>
          <w:numId w:val="12"/>
        </w:numPr>
        <w:ind w:firstLineChars="0"/>
        <w:rPr>
          <w:color w:val="000000" w:themeColor="text1"/>
          <w14:textFill>
            <w14:solidFill>
              <w14:schemeClr w14:val="tx1"/>
            </w14:solidFill>
          </w14:textFill>
        </w:rPr>
      </w:pPr>
      <w:r>
        <w:rPr>
          <w:color w:val="000000" w:themeColor="text1"/>
          <w14:textFill>
            <w14:solidFill>
              <w14:schemeClr w14:val="tx1"/>
            </w14:solidFill>
          </w14:textFill>
        </w:rPr>
        <w:t>遵循确保安全原则，对采集的数据进行分类分级标识，并对不同类</w:t>
      </w:r>
      <w:r>
        <w:rPr>
          <w:rFonts w:hint="eastAsia"/>
          <w:color w:val="000000" w:themeColor="text1"/>
          <w14:textFill>
            <w14:solidFill>
              <w14:schemeClr w14:val="tx1"/>
            </w14:solidFill>
          </w14:textFill>
        </w:rPr>
        <w:t>型</w:t>
      </w:r>
      <w:r>
        <w:rPr>
          <w:color w:val="000000" w:themeColor="text1"/>
          <w14:textFill>
            <w14:solidFill>
              <w14:schemeClr w14:val="tx1"/>
            </w14:solidFill>
          </w14:textFill>
        </w:rPr>
        <w:t>和级别的数据实施相应的安全管理策略和保障措施。对数据采集环境、设施和技术采取必要的安全管控措施。</w:t>
      </w:r>
      <w:r>
        <w:rPr>
          <w:rFonts w:hint="eastAsia"/>
          <w:color w:val="000000" w:themeColor="text1"/>
          <w14:textFill>
            <w14:solidFill>
              <w14:schemeClr w14:val="tx1"/>
            </w14:solidFill>
          </w14:textFill>
        </w:rPr>
        <w:t>针对隐私和机密数据应加强数据收集人员、设备的管理，并对收集来源、</w:t>
      </w:r>
      <w:r>
        <w:rPr>
          <w:color w:val="000000" w:themeColor="text1"/>
          <w14:textFill>
            <w14:solidFill>
              <w14:schemeClr w14:val="tx1"/>
            </w14:solidFill>
          </w14:textFill>
        </w:rPr>
        <w:t>时间、类型、数量、频度</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流向等进行记录</w:t>
      </w:r>
      <w:r>
        <w:rPr>
          <w:rFonts w:hint="eastAsia"/>
          <w:color w:val="000000" w:themeColor="text1"/>
          <w14:textFill>
            <w14:solidFill>
              <w14:schemeClr w14:val="tx1"/>
            </w14:solidFill>
          </w14:textFill>
        </w:rPr>
        <w:t>。</w:t>
      </w:r>
    </w:p>
    <w:p w14:paraId="07F2B11F">
      <w:pPr>
        <w:pStyle w:val="26"/>
        <w:numPr>
          <w:ilvl w:val="0"/>
          <w:numId w:val="1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对于</w:t>
      </w:r>
      <w:r>
        <w:rPr>
          <w:color w:val="000000" w:themeColor="text1"/>
          <w14:textFill>
            <w14:solidFill>
              <w14:schemeClr w14:val="tx1"/>
            </w14:solidFill>
          </w14:textFill>
        </w:rPr>
        <w:t>间接途径获取</w:t>
      </w:r>
      <w:r>
        <w:rPr>
          <w:rFonts w:hint="eastAsia"/>
          <w:color w:val="000000" w:themeColor="text1"/>
          <w14:textFill>
            <w14:solidFill>
              <w14:schemeClr w14:val="tx1"/>
            </w14:solidFill>
          </w14:textFill>
        </w:rPr>
        <w:t>隐私和机密数据</w:t>
      </w:r>
      <w:r>
        <w:rPr>
          <w:color w:val="000000" w:themeColor="text1"/>
          <w14:textFill>
            <w14:solidFill>
              <w14:schemeClr w14:val="tx1"/>
            </w14:solidFill>
          </w14:textFill>
        </w:rPr>
        <w:t>的，应当与数据提供方通过签署相关协议、承诺书等方式，明确双方责任。</w:t>
      </w:r>
    </w:p>
    <w:p w14:paraId="0481958F">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150" w:name="_Toc339217213"/>
      <w:bookmarkStart w:id="151" w:name="_Toc207032547"/>
      <w:bookmarkStart w:id="152" w:name="_Toc177137460"/>
      <w:r>
        <w:rPr>
          <w:rFonts w:ascii="黑体" w:hAnsi="黑体" w:eastAsia="黑体"/>
          <w:color w:val="000000" w:themeColor="text1"/>
          <w:szCs w:val="21"/>
          <w14:textFill>
            <w14:solidFill>
              <w14:schemeClr w14:val="tx1"/>
            </w14:solidFill>
          </w14:textFill>
        </w:rPr>
        <w:t>6.</w:t>
      </w:r>
      <w:r>
        <w:rPr>
          <w:rFonts w:hint="eastAsia" w:ascii="黑体" w:hAnsi="黑体" w:eastAsia="黑体"/>
          <w:color w:val="000000" w:themeColor="text1"/>
          <w:szCs w:val="21"/>
          <w14:textFill>
            <w14:solidFill>
              <w14:schemeClr w14:val="tx1"/>
            </w14:solidFill>
          </w14:textFill>
        </w:rPr>
        <w:t>5.</w:t>
      </w:r>
      <w:r>
        <w:rPr>
          <w:rFonts w:ascii="黑体" w:hAnsi="黑体" w:eastAsia="黑体"/>
          <w:color w:val="000000" w:themeColor="text1"/>
          <w:szCs w:val="21"/>
          <w14:textFill>
            <w14:solidFill>
              <w14:schemeClr w14:val="tx1"/>
            </w14:solidFill>
          </w14:textFill>
        </w:rPr>
        <w:t xml:space="preserve">3 </w:t>
      </w:r>
      <w:r>
        <w:rPr>
          <w:rFonts w:hint="eastAsia" w:ascii="黑体" w:hAnsi="黑体" w:eastAsia="黑体"/>
          <w:color w:val="000000" w:themeColor="text1"/>
          <w:szCs w:val="21"/>
          <w14:textFill>
            <w14:solidFill>
              <w14:schemeClr w14:val="tx1"/>
            </w14:solidFill>
          </w14:textFill>
        </w:rPr>
        <w:t>数据存储</w:t>
      </w:r>
      <w:bookmarkEnd w:id="150"/>
      <w:bookmarkEnd w:id="151"/>
      <w:bookmarkEnd w:id="152"/>
    </w:p>
    <w:p w14:paraId="7A533143">
      <w:pPr>
        <w:widowControl/>
        <w:spacing w:line="240" w:lineRule="auto"/>
        <w:ind w:firstLine="420" w:firstLineChars="200"/>
        <w:rPr>
          <w:rFonts w:ascii="宋体"/>
          <w:color w:val="000000" w:themeColor="text1"/>
          <w:kern w:val="0"/>
          <w:szCs w:val="20"/>
          <w14:textFill>
            <w14:solidFill>
              <w14:schemeClr w14:val="tx1"/>
            </w14:solidFill>
          </w14:textFill>
          <w14:ligatures w14:val="standardContextual"/>
        </w:rPr>
      </w:pPr>
      <w:r>
        <w:rPr>
          <w:rFonts w:ascii="宋体"/>
          <w:color w:val="000000" w:themeColor="text1"/>
          <w:kern w:val="0"/>
          <w:szCs w:val="20"/>
          <w14:textFill>
            <w14:solidFill>
              <w14:schemeClr w14:val="tx1"/>
            </w14:solidFill>
          </w14:textFill>
          <w14:ligatures w14:val="standardContextual"/>
        </w:rPr>
        <w:t>制定数据存储架构相关的安全规则和管理规范，包括数据访问控制规则</w:t>
      </w:r>
      <w:r>
        <w:rPr>
          <w:rFonts w:hint="eastAsia" w:ascii="宋体"/>
          <w:color w:val="000000" w:themeColor="text1"/>
          <w:kern w:val="0"/>
          <w:szCs w:val="20"/>
          <w14:textFill>
            <w14:solidFill>
              <w14:schemeClr w14:val="tx1"/>
            </w14:solidFill>
          </w14:textFill>
          <w14:ligatures w14:val="standardContextual"/>
        </w:rPr>
        <w:t>和</w:t>
      </w:r>
      <w:r>
        <w:rPr>
          <w:rFonts w:ascii="宋体"/>
          <w:color w:val="000000" w:themeColor="text1"/>
          <w:kern w:val="0"/>
          <w:szCs w:val="20"/>
          <w14:textFill>
            <w14:solidFill>
              <w14:schemeClr w14:val="tx1"/>
            </w14:solidFill>
          </w14:textFill>
          <w14:ligatures w14:val="standardContextual"/>
        </w:rPr>
        <w:t>数据存储转移安全规则等。安全要求</w:t>
      </w:r>
      <w:r>
        <w:rPr>
          <w:rFonts w:hint="eastAsia" w:ascii="宋体"/>
          <w:color w:val="000000" w:themeColor="text1"/>
          <w:kern w:val="0"/>
          <w:szCs w:val="20"/>
          <w14:textFill>
            <w14:solidFill>
              <w14:schemeClr w14:val="tx1"/>
            </w14:solidFill>
          </w14:textFill>
          <w14:ligatures w14:val="standardContextual"/>
        </w:rPr>
        <w:t>应</w:t>
      </w:r>
      <w:r>
        <w:rPr>
          <w:rFonts w:ascii="宋体"/>
          <w:color w:val="000000" w:themeColor="text1"/>
          <w:kern w:val="0"/>
          <w:szCs w:val="20"/>
          <w14:textFill>
            <w14:solidFill>
              <w14:schemeClr w14:val="tx1"/>
            </w14:solidFill>
          </w14:textFill>
          <w14:ligatures w14:val="standardContextual"/>
        </w:rPr>
        <w:t>包括但不限于</w:t>
      </w:r>
      <w:bookmarkStart w:id="153" w:name="OLE_LINK32"/>
      <w:bookmarkStart w:id="154" w:name="OLE_LINK33"/>
      <w:r>
        <w:rPr>
          <w:rFonts w:hint="eastAsia" w:ascii="宋体"/>
          <w:color w:val="000000" w:themeColor="text1"/>
          <w:kern w:val="0"/>
          <w:szCs w:val="20"/>
          <w14:textFill>
            <w14:solidFill>
              <w14:schemeClr w14:val="tx1"/>
            </w14:solidFill>
          </w14:textFill>
          <w14:ligatures w14:val="standardContextual"/>
        </w:rPr>
        <w:t>下列内容</w:t>
      </w:r>
      <w:r>
        <w:rPr>
          <w:rFonts w:ascii="宋体"/>
          <w:color w:val="000000" w:themeColor="text1"/>
          <w:kern w:val="0"/>
          <w:szCs w:val="20"/>
          <w14:textFill>
            <w14:solidFill>
              <w14:schemeClr w14:val="tx1"/>
            </w14:solidFill>
          </w14:textFill>
          <w14:ligatures w14:val="standardContextual"/>
        </w:rPr>
        <w:t>。</w:t>
      </w:r>
      <w:bookmarkEnd w:id="153"/>
      <w:bookmarkEnd w:id="154"/>
    </w:p>
    <w:p w14:paraId="6495DEE2">
      <w:pPr>
        <w:pStyle w:val="26"/>
        <w:numPr>
          <w:ilvl w:val="0"/>
          <w:numId w:val="13"/>
        </w:numPr>
        <w:ind w:firstLineChars="0"/>
        <w:rPr>
          <w:color w:val="000000" w:themeColor="text1"/>
          <w14:textFill>
            <w14:solidFill>
              <w14:schemeClr w14:val="tx1"/>
            </w14:solidFill>
          </w14:textFill>
        </w:rPr>
      </w:pPr>
      <w:r>
        <w:rPr>
          <w:color w:val="000000" w:themeColor="text1"/>
          <w14:textFill>
            <w14:solidFill>
              <w14:schemeClr w14:val="tx1"/>
            </w14:solidFill>
          </w14:textFill>
        </w:rPr>
        <w:t>将不同类别和级别的数据分开存储，并采取物理或逻辑隔离机制。</w:t>
      </w:r>
      <w:r>
        <w:rPr>
          <w:rFonts w:hint="eastAsia"/>
          <w:color w:val="000000" w:themeColor="text1"/>
          <w14:textFill>
            <w14:solidFill>
              <w14:schemeClr w14:val="tx1"/>
            </w14:solidFill>
          </w14:textFill>
        </w:rPr>
        <w:t>针对隐私和机密数据，应当采用</w:t>
      </w:r>
      <w:r>
        <w:rPr>
          <w:color w:val="000000" w:themeColor="text1"/>
          <w14:textFill>
            <w14:solidFill>
              <w14:schemeClr w14:val="tx1"/>
            </w14:solidFill>
          </w14:textFill>
        </w:rPr>
        <w:t>校验技术、密码技术等措施进行安全存储，并实施数据容灾备份和存储介质安全管理，定期开展数据恢复测试。</w:t>
      </w:r>
    </w:p>
    <w:p w14:paraId="64947491">
      <w:pPr>
        <w:pStyle w:val="26"/>
        <w:numPr>
          <w:ilvl w:val="0"/>
          <w:numId w:val="13"/>
        </w:numPr>
        <w:ind w:firstLineChars="0"/>
        <w:rPr>
          <w:color w:val="000000" w:themeColor="text1"/>
          <w14:textFill>
            <w14:solidFill>
              <w14:schemeClr w14:val="tx1"/>
            </w14:solidFill>
          </w14:textFill>
        </w:rPr>
      </w:pPr>
      <w:r>
        <w:rPr>
          <w:color w:val="000000" w:themeColor="text1"/>
          <w14:textFill>
            <w14:solidFill>
              <w14:schemeClr w14:val="tx1"/>
            </w14:solidFill>
          </w14:textFill>
        </w:rPr>
        <w:t>遵守确保安全原则，主要考虑</w:t>
      </w:r>
      <w:r>
        <w:rPr>
          <w:rFonts w:hint="eastAsia"/>
          <w:color w:val="000000" w:themeColor="text1"/>
          <w14:textFill>
            <w14:solidFill>
              <w14:schemeClr w14:val="tx1"/>
            </w14:solidFill>
          </w14:textFill>
        </w:rPr>
        <w:t>下列</w:t>
      </w:r>
      <w:r>
        <w:rPr>
          <w:color w:val="000000" w:themeColor="text1"/>
          <w14:textFill>
            <w14:solidFill>
              <w14:schemeClr w14:val="tx1"/>
            </w14:solidFill>
          </w14:textFill>
        </w:rPr>
        <w:t>几个方面：</w:t>
      </w:r>
    </w:p>
    <w:p w14:paraId="2E48D12B">
      <w:pPr>
        <w:pStyle w:val="28"/>
        <w:widowControl/>
        <w:numPr>
          <w:ilvl w:val="0"/>
          <w:numId w:val="14"/>
        </w:numPr>
        <w:spacing w:line="240" w:lineRule="auto"/>
        <w:ind w:firstLineChars="0"/>
        <w:rPr>
          <w:rFonts w:ascii="宋体"/>
          <w:color w:val="000000" w:themeColor="text1"/>
          <w:kern w:val="0"/>
          <w:szCs w:val="20"/>
          <w14:textFill>
            <w14:solidFill>
              <w14:schemeClr w14:val="tx1"/>
            </w14:solidFill>
          </w14:textFill>
          <w14:ligatures w14:val="standardContextual"/>
        </w:rPr>
      </w:pPr>
      <w:r>
        <w:rPr>
          <w:rFonts w:ascii="宋体"/>
          <w:color w:val="000000" w:themeColor="text1"/>
          <w:kern w:val="0"/>
          <w:szCs w:val="20"/>
          <w14:textFill>
            <w14:solidFill>
              <w14:schemeClr w14:val="tx1"/>
            </w14:solidFill>
          </w14:textFill>
          <w14:ligatures w14:val="standardContextual"/>
        </w:rPr>
        <w:t>存储架构安全；</w:t>
      </w:r>
    </w:p>
    <w:p w14:paraId="3A8D2714">
      <w:pPr>
        <w:pStyle w:val="28"/>
        <w:widowControl/>
        <w:numPr>
          <w:ilvl w:val="0"/>
          <w:numId w:val="14"/>
        </w:numPr>
        <w:spacing w:line="240" w:lineRule="auto"/>
        <w:ind w:firstLineChars="0"/>
        <w:rPr>
          <w:rFonts w:ascii="宋体"/>
          <w:color w:val="000000" w:themeColor="text1"/>
          <w:kern w:val="0"/>
          <w:szCs w:val="20"/>
          <w14:textFill>
            <w14:solidFill>
              <w14:schemeClr w14:val="tx1"/>
            </w14:solidFill>
          </w14:textFill>
          <w14:ligatures w14:val="standardContextual"/>
        </w:rPr>
      </w:pPr>
      <w:r>
        <w:rPr>
          <w:rFonts w:ascii="宋体"/>
          <w:color w:val="000000" w:themeColor="text1"/>
          <w:kern w:val="0"/>
          <w:szCs w:val="20"/>
          <w14:textFill>
            <w14:solidFill>
              <w14:schemeClr w14:val="tx1"/>
            </w14:solidFill>
          </w14:textFill>
          <w14:ligatures w14:val="standardContextual"/>
        </w:rPr>
        <w:t>逻辑存储安全；</w:t>
      </w:r>
    </w:p>
    <w:p w14:paraId="5420F68B">
      <w:pPr>
        <w:pStyle w:val="28"/>
        <w:widowControl/>
        <w:numPr>
          <w:ilvl w:val="0"/>
          <w:numId w:val="14"/>
        </w:numPr>
        <w:spacing w:line="240" w:lineRule="auto"/>
        <w:ind w:firstLineChars="0"/>
        <w:rPr>
          <w:rFonts w:ascii="宋体"/>
          <w:color w:val="000000" w:themeColor="text1"/>
          <w:kern w:val="0"/>
          <w:szCs w:val="20"/>
          <w14:textFill>
            <w14:solidFill>
              <w14:schemeClr w14:val="tx1"/>
            </w14:solidFill>
          </w14:textFill>
          <w14:ligatures w14:val="standardContextual"/>
        </w:rPr>
      </w:pPr>
      <w:r>
        <w:rPr>
          <w:rFonts w:ascii="宋体"/>
          <w:color w:val="000000" w:themeColor="text1"/>
          <w:kern w:val="0"/>
          <w:szCs w:val="20"/>
          <w14:textFill>
            <w14:solidFill>
              <w14:schemeClr w14:val="tx1"/>
            </w14:solidFill>
          </w14:textFill>
          <w14:ligatures w14:val="standardContextual"/>
        </w:rPr>
        <w:t>存储访问控制；</w:t>
      </w:r>
    </w:p>
    <w:p w14:paraId="0F9F08E4">
      <w:pPr>
        <w:pStyle w:val="28"/>
        <w:widowControl/>
        <w:numPr>
          <w:ilvl w:val="0"/>
          <w:numId w:val="14"/>
        </w:numPr>
        <w:spacing w:line="240" w:lineRule="auto"/>
        <w:ind w:firstLineChars="0"/>
        <w:rPr>
          <w:rFonts w:ascii="宋体"/>
          <w:color w:val="000000" w:themeColor="text1"/>
          <w:kern w:val="0"/>
          <w:szCs w:val="20"/>
          <w14:textFill>
            <w14:solidFill>
              <w14:schemeClr w14:val="tx1"/>
            </w14:solidFill>
          </w14:textFill>
          <w14:ligatures w14:val="standardContextual"/>
        </w:rPr>
      </w:pPr>
      <w:r>
        <w:rPr>
          <w:rFonts w:ascii="宋体"/>
          <w:color w:val="000000" w:themeColor="text1"/>
          <w:kern w:val="0"/>
          <w:szCs w:val="20"/>
          <w14:textFill>
            <w14:solidFill>
              <w14:schemeClr w14:val="tx1"/>
            </w14:solidFill>
          </w14:textFill>
          <w14:ligatures w14:val="standardContextual"/>
        </w:rPr>
        <w:t>数据副本安全；</w:t>
      </w:r>
    </w:p>
    <w:p w14:paraId="6324D6DC">
      <w:pPr>
        <w:pStyle w:val="28"/>
        <w:widowControl/>
        <w:numPr>
          <w:ilvl w:val="0"/>
          <w:numId w:val="14"/>
        </w:numPr>
        <w:spacing w:line="240" w:lineRule="auto"/>
        <w:ind w:firstLineChars="0"/>
        <w:rPr>
          <w:rFonts w:ascii="宋体"/>
          <w:color w:val="000000" w:themeColor="text1"/>
          <w:kern w:val="0"/>
          <w:szCs w:val="20"/>
          <w14:textFill>
            <w14:solidFill>
              <w14:schemeClr w14:val="tx1"/>
            </w14:solidFill>
          </w14:textFill>
          <w14:ligatures w14:val="standardContextual"/>
        </w:rPr>
      </w:pPr>
      <w:r>
        <w:rPr>
          <w:rFonts w:ascii="宋体"/>
          <w:color w:val="000000" w:themeColor="text1"/>
          <w:kern w:val="0"/>
          <w:szCs w:val="20"/>
          <w14:textFill>
            <w14:solidFill>
              <w14:schemeClr w14:val="tx1"/>
            </w14:solidFill>
          </w14:textFill>
          <w14:ligatures w14:val="standardContextual"/>
        </w:rPr>
        <w:t>数据归档安全；</w:t>
      </w:r>
    </w:p>
    <w:p w14:paraId="1753B36E">
      <w:pPr>
        <w:pStyle w:val="28"/>
        <w:widowControl/>
        <w:numPr>
          <w:ilvl w:val="0"/>
          <w:numId w:val="14"/>
        </w:numPr>
        <w:spacing w:line="240" w:lineRule="auto"/>
        <w:ind w:firstLineChars="0"/>
        <w:rPr>
          <w:rFonts w:ascii="宋体"/>
          <w:color w:val="000000" w:themeColor="text1"/>
          <w:kern w:val="0"/>
          <w:szCs w:val="20"/>
          <w14:textFill>
            <w14:solidFill>
              <w14:schemeClr w14:val="tx1"/>
            </w14:solidFill>
          </w14:textFill>
          <w14:ligatures w14:val="standardContextual"/>
        </w:rPr>
      </w:pPr>
      <w:r>
        <w:rPr>
          <w:rFonts w:ascii="宋体"/>
          <w:color w:val="000000" w:themeColor="text1"/>
          <w:kern w:val="0"/>
          <w:szCs w:val="20"/>
          <w14:textFill>
            <w14:solidFill>
              <w14:schemeClr w14:val="tx1"/>
            </w14:solidFill>
          </w14:textFill>
          <w14:ligatures w14:val="standardContextual"/>
        </w:rPr>
        <w:t>数据时效性管理。</w:t>
      </w:r>
    </w:p>
    <w:p w14:paraId="01173FF5">
      <w:pPr>
        <w:pStyle w:val="26"/>
        <w:numPr>
          <w:ilvl w:val="0"/>
          <w:numId w:val="13"/>
        </w:numPr>
        <w:ind w:firstLineChars="0"/>
        <w:rPr>
          <w:color w:val="000000" w:themeColor="text1"/>
          <w14:textFill>
            <w14:solidFill>
              <w14:schemeClr w14:val="tx1"/>
            </w14:solidFill>
          </w14:textFill>
        </w:rPr>
      </w:pPr>
      <w:r>
        <w:rPr>
          <w:color w:val="000000" w:themeColor="text1"/>
          <w14:textFill>
            <w14:solidFill>
              <w14:schemeClr w14:val="tx1"/>
            </w14:solidFill>
          </w14:textFill>
        </w:rPr>
        <w:t>建立数据存储冗余策略和管理制度，及数据备份与恢复操作过程规范。</w:t>
      </w:r>
    </w:p>
    <w:p w14:paraId="73FD47EF">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155" w:name="_Toc1802099753"/>
      <w:bookmarkStart w:id="156" w:name="_Toc177137461"/>
      <w:bookmarkStart w:id="157" w:name="_Toc207032548"/>
      <w:r>
        <w:rPr>
          <w:rFonts w:ascii="黑体" w:hAnsi="黑体" w:eastAsia="黑体"/>
          <w:color w:val="000000" w:themeColor="text1"/>
          <w:szCs w:val="21"/>
          <w14:textFill>
            <w14:solidFill>
              <w14:schemeClr w14:val="tx1"/>
            </w14:solidFill>
          </w14:textFill>
        </w:rPr>
        <w:t>6.</w:t>
      </w:r>
      <w:r>
        <w:rPr>
          <w:rFonts w:hint="eastAsia" w:ascii="黑体" w:hAnsi="黑体" w:eastAsia="黑体"/>
          <w:color w:val="000000" w:themeColor="text1"/>
          <w:szCs w:val="21"/>
          <w14:textFill>
            <w14:solidFill>
              <w14:schemeClr w14:val="tx1"/>
            </w14:solidFill>
          </w14:textFill>
        </w:rPr>
        <w:t>5.</w:t>
      </w:r>
      <w:r>
        <w:rPr>
          <w:rFonts w:ascii="黑体" w:hAnsi="黑体" w:eastAsia="黑体"/>
          <w:color w:val="000000" w:themeColor="text1"/>
          <w:szCs w:val="21"/>
          <w14:textFill>
            <w14:solidFill>
              <w14:schemeClr w14:val="tx1"/>
            </w14:solidFill>
          </w14:textFill>
        </w:rPr>
        <w:t>4</w:t>
      </w:r>
      <w:r>
        <w:rPr>
          <w:rFonts w:hint="eastAsia" w:ascii="黑体" w:hAnsi="黑体" w:eastAsia="黑体"/>
          <w:color w:val="000000" w:themeColor="text1"/>
          <w:szCs w:val="21"/>
          <w14:textFill>
            <w14:solidFill>
              <w14:schemeClr w14:val="tx1"/>
            </w14:solidFill>
          </w14:textFill>
        </w:rPr>
        <w:t>数据处理</w:t>
      </w:r>
      <w:bookmarkEnd w:id="155"/>
      <w:bookmarkEnd w:id="156"/>
      <w:bookmarkEnd w:id="157"/>
    </w:p>
    <w:p w14:paraId="56BD82ED">
      <w:pPr>
        <w:widowControl/>
        <w:spacing w:line="240" w:lineRule="auto"/>
        <w:ind w:firstLine="420" w:firstLineChars="200"/>
        <w:rPr>
          <w:rFonts w:ascii="宋体"/>
          <w:color w:val="000000" w:themeColor="text1"/>
          <w:kern w:val="0"/>
          <w:szCs w:val="20"/>
          <w14:textFill>
            <w14:solidFill>
              <w14:schemeClr w14:val="tx1"/>
            </w14:solidFill>
          </w14:textFill>
          <w14:ligatures w14:val="standardContextual"/>
        </w:rPr>
      </w:pPr>
      <w:r>
        <w:rPr>
          <w:rFonts w:ascii="宋体"/>
          <w:color w:val="000000" w:themeColor="text1"/>
          <w:kern w:val="0"/>
          <w:szCs w:val="20"/>
          <w14:textFill>
            <w14:solidFill>
              <w14:schemeClr w14:val="tx1"/>
            </w14:solidFill>
          </w14:textFill>
          <w14:ligatures w14:val="standardContextual"/>
        </w:rPr>
        <w:t>数据处理时，安全要求</w:t>
      </w:r>
      <w:r>
        <w:rPr>
          <w:rFonts w:hint="eastAsia" w:ascii="宋体"/>
          <w:color w:val="000000" w:themeColor="text1"/>
          <w:kern w:val="0"/>
          <w:szCs w:val="20"/>
          <w14:textFill>
            <w14:solidFill>
              <w14:schemeClr w14:val="tx1"/>
            </w14:solidFill>
          </w14:textFill>
          <w14:ligatures w14:val="standardContextual"/>
        </w:rPr>
        <w:t>应</w:t>
      </w:r>
      <w:r>
        <w:rPr>
          <w:rFonts w:ascii="宋体"/>
          <w:color w:val="000000" w:themeColor="text1"/>
          <w:kern w:val="0"/>
          <w:szCs w:val="20"/>
          <w14:textFill>
            <w14:solidFill>
              <w14:schemeClr w14:val="tx1"/>
            </w14:solidFill>
          </w14:textFill>
          <w14:ligatures w14:val="standardContextual"/>
        </w:rPr>
        <w:t>包括但不限于</w:t>
      </w:r>
      <w:r>
        <w:rPr>
          <w:rFonts w:hint="eastAsia" w:ascii="宋体"/>
          <w:color w:val="000000" w:themeColor="text1"/>
          <w:kern w:val="0"/>
          <w:szCs w:val="20"/>
          <w14:textFill>
            <w14:solidFill>
              <w14:schemeClr w14:val="tx1"/>
            </w14:solidFill>
          </w14:textFill>
          <w14:ligatures w14:val="standardContextual"/>
        </w:rPr>
        <w:t>下列内容。</w:t>
      </w:r>
    </w:p>
    <w:p w14:paraId="3F54A114">
      <w:pPr>
        <w:pStyle w:val="26"/>
        <w:numPr>
          <w:ilvl w:val="0"/>
          <w:numId w:val="15"/>
        </w:numPr>
        <w:ind w:firstLineChars="0"/>
        <w:rPr>
          <w:color w:val="000000" w:themeColor="text1"/>
          <w14:textFill>
            <w14:solidFill>
              <w14:schemeClr w14:val="tx1"/>
            </w14:solidFill>
          </w14:textFill>
        </w:rPr>
      </w:pPr>
      <w:r>
        <w:rPr>
          <w:color w:val="000000" w:themeColor="text1"/>
          <w14:textFill>
            <w14:solidFill>
              <w14:schemeClr w14:val="tx1"/>
            </w14:solidFill>
          </w14:textFill>
        </w:rPr>
        <w:t>依据个人信息和重要数据保护的</w:t>
      </w:r>
      <w:bookmarkStart w:id="158" w:name="OLE_LINK38"/>
      <w:bookmarkStart w:id="159" w:name="OLE_LINK37"/>
      <w:r>
        <w:rPr>
          <w:color w:val="000000" w:themeColor="text1"/>
          <w14:textFill>
            <w14:solidFill>
              <w14:schemeClr w14:val="tx1"/>
            </w14:solidFill>
          </w14:textFill>
        </w:rPr>
        <w:t>法律</w:t>
      </w:r>
      <w:bookmarkEnd w:id="158"/>
      <w:bookmarkEnd w:id="159"/>
      <w:r>
        <w:rPr>
          <w:color w:val="000000" w:themeColor="text1"/>
          <w14:textFill>
            <w14:solidFill>
              <w14:schemeClr w14:val="tx1"/>
            </w14:solidFill>
          </w14:textFill>
        </w:rPr>
        <w:t>法规要求，明确数据处理的目的和范围。</w:t>
      </w:r>
    </w:p>
    <w:p w14:paraId="2CB45415">
      <w:pPr>
        <w:pStyle w:val="26"/>
        <w:numPr>
          <w:ilvl w:val="0"/>
          <w:numId w:val="15"/>
        </w:numPr>
        <w:ind w:firstLineChars="0"/>
        <w:rPr>
          <w:color w:val="000000" w:themeColor="text1"/>
          <w14:textFill>
            <w14:solidFill>
              <w14:schemeClr w14:val="tx1"/>
            </w14:solidFill>
          </w14:textFill>
        </w:rPr>
      </w:pPr>
      <w:r>
        <w:rPr>
          <w:color w:val="000000" w:themeColor="text1"/>
          <w14:textFill>
            <w14:solidFill>
              <w14:schemeClr w14:val="tx1"/>
            </w14:solidFill>
          </w14:textFill>
        </w:rPr>
        <w:t>建立数据处理的内部责任制度，保证分析处理和使用数据不超出声明的数据使用目的和范围。</w:t>
      </w:r>
    </w:p>
    <w:p w14:paraId="1D0A7EFA">
      <w:pPr>
        <w:pStyle w:val="26"/>
        <w:numPr>
          <w:ilvl w:val="0"/>
          <w:numId w:val="15"/>
        </w:numPr>
        <w:ind w:firstLineChars="0"/>
        <w:rPr>
          <w:color w:val="000000" w:themeColor="text1"/>
          <w14:textFill>
            <w14:solidFill>
              <w14:schemeClr w14:val="tx1"/>
            </w14:solidFill>
          </w14:textFill>
        </w:rPr>
      </w:pPr>
      <w:r>
        <w:rPr>
          <w:color w:val="000000" w:themeColor="text1"/>
          <w14:textFill>
            <w14:solidFill>
              <w14:schemeClr w14:val="tx1"/>
            </w14:solidFill>
          </w14:textFill>
        </w:rPr>
        <w:t>遵循最小授权原则，提供数据细粒度访问控制机制。</w:t>
      </w:r>
    </w:p>
    <w:p w14:paraId="36B5EC07">
      <w:pPr>
        <w:pStyle w:val="26"/>
        <w:numPr>
          <w:ilvl w:val="0"/>
          <w:numId w:val="15"/>
        </w:numPr>
        <w:ind w:firstLineChars="0"/>
        <w:rPr>
          <w:color w:val="000000" w:themeColor="text1"/>
          <w14:textFill>
            <w14:solidFill>
              <w14:schemeClr w14:val="tx1"/>
            </w14:solidFill>
          </w14:textFill>
        </w:rPr>
      </w:pPr>
      <w:r>
        <w:rPr>
          <w:color w:val="000000" w:themeColor="text1"/>
          <w14:textFill>
            <w14:solidFill>
              <w14:schemeClr w14:val="tx1"/>
            </w14:solidFill>
          </w14:textFill>
        </w:rPr>
        <w:t>遵循确保安全原则，主要考虑</w:t>
      </w:r>
      <w:r>
        <w:rPr>
          <w:rFonts w:hint="eastAsia"/>
          <w:color w:val="000000" w:themeColor="text1"/>
          <w14:textFill>
            <w14:solidFill>
              <w14:schemeClr w14:val="tx1"/>
            </w14:solidFill>
          </w14:textFill>
        </w:rPr>
        <w:t>下列</w:t>
      </w:r>
      <w:r>
        <w:rPr>
          <w:color w:val="000000" w:themeColor="text1"/>
          <w14:textFill>
            <w14:solidFill>
              <w14:schemeClr w14:val="tx1"/>
            </w14:solidFill>
          </w14:textFill>
        </w:rPr>
        <w:t>方面：</w:t>
      </w:r>
    </w:p>
    <w:p w14:paraId="7C2C8CA6">
      <w:pPr>
        <w:pStyle w:val="28"/>
        <w:widowControl/>
        <w:numPr>
          <w:ilvl w:val="0"/>
          <w:numId w:val="16"/>
        </w:numPr>
        <w:spacing w:line="240" w:lineRule="auto"/>
        <w:ind w:firstLineChars="0"/>
        <w:rPr>
          <w:rFonts w:ascii="宋体"/>
          <w:color w:val="000000" w:themeColor="text1"/>
          <w:kern w:val="0"/>
          <w:szCs w:val="20"/>
          <w14:textFill>
            <w14:solidFill>
              <w14:schemeClr w14:val="tx1"/>
            </w14:solidFill>
          </w14:textFill>
          <w14:ligatures w14:val="standardContextual"/>
        </w:rPr>
      </w:pPr>
      <w:r>
        <w:rPr>
          <w:rFonts w:ascii="宋体"/>
          <w:color w:val="000000" w:themeColor="text1"/>
          <w:kern w:val="0"/>
          <w:szCs w:val="20"/>
          <w14:textFill>
            <w14:solidFill>
              <w14:schemeClr w14:val="tx1"/>
            </w14:solidFill>
          </w14:textFill>
          <w14:ligatures w14:val="standardContextual"/>
        </w:rPr>
        <w:t>分布式处理安全；</w:t>
      </w:r>
    </w:p>
    <w:p w14:paraId="541CC0C7">
      <w:pPr>
        <w:pStyle w:val="28"/>
        <w:widowControl/>
        <w:numPr>
          <w:ilvl w:val="0"/>
          <w:numId w:val="16"/>
        </w:numPr>
        <w:spacing w:line="240" w:lineRule="auto"/>
        <w:ind w:firstLineChars="0"/>
        <w:rPr>
          <w:rFonts w:ascii="宋体"/>
          <w:color w:val="000000" w:themeColor="text1"/>
          <w:kern w:val="0"/>
          <w:szCs w:val="20"/>
          <w14:textFill>
            <w14:solidFill>
              <w14:schemeClr w14:val="tx1"/>
            </w14:solidFill>
          </w14:textFill>
          <w14:ligatures w14:val="standardContextual"/>
        </w:rPr>
      </w:pPr>
      <w:r>
        <w:rPr>
          <w:rFonts w:ascii="宋体"/>
          <w:color w:val="000000" w:themeColor="text1"/>
          <w:kern w:val="0"/>
          <w:szCs w:val="20"/>
          <w14:textFill>
            <w14:solidFill>
              <w14:schemeClr w14:val="tx1"/>
            </w14:solidFill>
          </w14:textFill>
          <w14:ligatures w14:val="standardContextual"/>
        </w:rPr>
        <w:t>数据分析安全；</w:t>
      </w:r>
    </w:p>
    <w:p w14:paraId="6E1C7186">
      <w:pPr>
        <w:pStyle w:val="28"/>
        <w:widowControl/>
        <w:numPr>
          <w:ilvl w:val="0"/>
          <w:numId w:val="16"/>
        </w:numPr>
        <w:spacing w:line="240" w:lineRule="auto"/>
        <w:ind w:firstLineChars="0"/>
        <w:rPr>
          <w:rFonts w:ascii="宋体"/>
          <w:color w:val="000000" w:themeColor="text1"/>
          <w:kern w:val="0"/>
          <w:szCs w:val="20"/>
          <w14:textFill>
            <w14:solidFill>
              <w14:schemeClr w14:val="tx1"/>
            </w14:solidFill>
          </w14:textFill>
          <w14:ligatures w14:val="standardContextual"/>
        </w:rPr>
      </w:pPr>
      <w:r>
        <w:rPr>
          <w:rFonts w:ascii="宋体"/>
          <w:color w:val="000000" w:themeColor="text1"/>
          <w:kern w:val="0"/>
          <w:szCs w:val="20"/>
          <w14:textFill>
            <w14:solidFill>
              <w14:schemeClr w14:val="tx1"/>
            </w14:solidFill>
          </w14:textFill>
          <w14:ligatures w14:val="standardContextual"/>
        </w:rPr>
        <w:t>数据加密处理；</w:t>
      </w:r>
    </w:p>
    <w:p w14:paraId="543C1CB6">
      <w:pPr>
        <w:pStyle w:val="28"/>
        <w:widowControl/>
        <w:numPr>
          <w:ilvl w:val="0"/>
          <w:numId w:val="16"/>
        </w:numPr>
        <w:spacing w:line="240" w:lineRule="auto"/>
        <w:ind w:firstLineChars="0"/>
        <w:rPr>
          <w:rFonts w:ascii="宋体"/>
          <w:color w:val="000000" w:themeColor="text1"/>
          <w:kern w:val="0"/>
          <w:szCs w:val="20"/>
          <w14:textFill>
            <w14:solidFill>
              <w14:schemeClr w14:val="tx1"/>
            </w14:solidFill>
          </w14:textFill>
          <w14:ligatures w14:val="standardContextual"/>
        </w:rPr>
      </w:pPr>
      <w:r>
        <w:rPr>
          <w:rFonts w:ascii="宋体"/>
          <w:color w:val="000000" w:themeColor="text1"/>
          <w:kern w:val="0"/>
          <w:szCs w:val="20"/>
          <w14:textFill>
            <w14:solidFill>
              <w14:schemeClr w14:val="tx1"/>
            </w14:solidFill>
          </w14:textFill>
          <w14:ligatures w14:val="standardContextual"/>
        </w:rPr>
        <w:t>数据脱敏处理；</w:t>
      </w:r>
    </w:p>
    <w:p w14:paraId="212655D9">
      <w:pPr>
        <w:pStyle w:val="28"/>
        <w:widowControl/>
        <w:numPr>
          <w:ilvl w:val="0"/>
          <w:numId w:val="16"/>
        </w:numPr>
        <w:spacing w:line="240" w:lineRule="auto"/>
        <w:ind w:firstLineChars="0"/>
        <w:rPr>
          <w:rFonts w:ascii="宋体"/>
          <w:color w:val="000000" w:themeColor="text1"/>
          <w:kern w:val="0"/>
          <w:szCs w:val="20"/>
          <w14:textFill>
            <w14:solidFill>
              <w14:schemeClr w14:val="tx1"/>
            </w14:solidFill>
          </w14:textFill>
          <w14:ligatures w14:val="standardContextual"/>
        </w:rPr>
      </w:pPr>
      <w:r>
        <w:rPr>
          <w:rFonts w:ascii="宋体"/>
          <w:color w:val="000000" w:themeColor="text1"/>
          <w:kern w:val="0"/>
          <w:szCs w:val="20"/>
          <w14:textFill>
            <w14:solidFill>
              <w14:schemeClr w14:val="tx1"/>
            </w14:solidFill>
          </w14:textFill>
          <w14:ligatures w14:val="standardContextual"/>
        </w:rPr>
        <w:t>数据溯源。</w:t>
      </w:r>
    </w:p>
    <w:p w14:paraId="56B8369B">
      <w:pPr>
        <w:pStyle w:val="26"/>
        <w:numPr>
          <w:ilvl w:val="0"/>
          <w:numId w:val="15"/>
        </w:numPr>
        <w:ind w:firstLineChars="0"/>
        <w:rPr>
          <w:color w:val="000000" w:themeColor="text1"/>
          <w14:textFill>
            <w14:solidFill>
              <w14:schemeClr w14:val="tx1"/>
            </w14:solidFill>
          </w14:textFill>
        </w:rPr>
      </w:pPr>
      <w:r>
        <w:rPr>
          <w:color w:val="000000" w:themeColor="text1"/>
          <w14:textFill>
            <w14:solidFill>
              <w14:schemeClr w14:val="tx1"/>
            </w14:solidFill>
          </w14:textFill>
        </w:rPr>
        <w:t>遵循可审计原则，记录和管理数据处理活动中的操作。</w:t>
      </w:r>
      <w:r>
        <w:rPr>
          <w:rFonts w:hint="eastAsia"/>
          <w:color w:val="000000" w:themeColor="text1"/>
          <w14:textFill>
            <w14:solidFill>
              <w14:schemeClr w14:val="tx1"/>
            </w14:solidFill>
          </w14:textFill>
        </w:rPr>
        <w:t>针对利用数据进行自动化决策的，应当保证决策的透明度和结果公平合理。</w:t>
      </w:r>
    </w:p>
    <w:p w14:paraId="7413AACD">
      <w:pPr>
        <w:pStyle w:val="26"/>
        <w:numPr>
          <w:ilvl w:val="0"/>
          <w:numId w:val="15"/>
        </w:numPr>
        <w:ind w:firstLineChars="0"/>
        <w:rPr>
          <w:color w:val="000000" w:themeColor="text1"/>
          <w14:textFill>
            <w14:solidFill>
              <w14:schemeClr w14:val="tx1"/>
            </w14:solidFill>
          </w14:textFill>
        </w:rPr>
      </w:pPr>
      <w:r>
        <w:rPr>
          <w:color w:val="000000" w:themeColor="text1"/>
          <w14:textFill>
            <w14:solidFill>
              <w14:schemeClr w14:val="tx1"/>
            </w14:solidFill>
          </w14:textFill>
        </w:rPr>
        <w:t>对数据处理结果进行风险评估，避免处理结果中包含可恢复的敏感数据。</w:t>
      </w:r>
    </w:p>
    <w:p w14:paraId="318C7A27">
      <w:pPr>
        <w:pStyle w:val="26"/>
        <w:numPr>
          <w:ilvl w:val="0"/>
          <w:numId w:val="1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识别人工智能数据、算法和模型相关突出风险，如数据传输安全、隐私保护和算法模型可信赖等</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并</w:t>
      </w:r>
      <w:r>
        <w:rPr>
          <w:color w:val="000000" w:themeColor="text1"/>
          <w14:textFill>
            <w14:solidFill>
              <w14:schemeClr w14:val="tx1"/>
            </w14:solidFill>
          </w14:textFill>
        </w:rPr>
        <w:t>采取</w:t>
      </w:r>
      <w:r>
        <w:rPr>
          <w:rFonts w:hint="eastAsia"/>
          <w:color w:val="000000" w:themeColor="text1"/>
          <w14:textFill>
            <w14:solidFill>
              <w14:schemeClr w14:val="tx1"/>
            </w14:solidFill>
          </w14:textFill>
        </w:rPr>
        <w:t>数据加密等相应数据安全</w:t>
      </w:r>
      <w:r>
        <w:rPr>
          <w:color w:val="000000" w:themeColor="text1"/>
          <w14:textFill>
            <w14:solidFill>
              <w14:schemeClr w14:val="tx1"/>
            </w14:solidFill>
          </w14:textFill>
        </w:rPr>
        <w:t>措施</w:t>
      </w:r>
      <w:r>
        <w:rPr>
          <w:rFonts w:hint="eastAsia"/>
          <w:color w:val="000000" w:themeColor="text1"/>
          <w14:textFill>
            <w14:solidFill>
              <w14:schemeClr w14:val="tx1"/>
            </w14:solidFill>
          </w14:textFill>
        </w:rPr>
        <w:t>。</w:t>
      </w:r>
    </w:p>
    <w:p w14:paraId="7536F16C">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160" w:name="_Toc1928675030"/>
      <w:bookmarkStart w:id="161" w:name="_Toc177137462"/>
      <w:bookmarkStart w:id="162" w:name="_Toc207032549"/>
      <w:r>
        <w:rPr>
          <w:rFonts w:ascii="黑体" w:hAnsi="黑体" w:eastAsia="黑体"/>
          <w:color w:val="000000" w:themeColor="text1"/>
          <w:szCs w:val="21"/>
          <w14:textFill>
            <w14:solidFill>
              <w14:schemeClr w14:val="tx1"/>
            </w14:solidFill>
          </w14:textFill>
        </w:rPr>
        <w:t>6.</w:t>
      </w:r>
      <w:r>
        <w:rPr>
          <w:rFonts w:hint="eastAsia" w:ascii="黑体" w:hAnsi="黑体" w:eastAsia="黑体"/>
          <w:color w:val="000000" w:themeColor="text1"/>
          <w:szCs w:val="21"/>
          <w14:textFill>
            <w14:solidFill>
              <w14:schemeClr w14:val="tx1"/>
            </w14:solidFill>
          </w14:textFill>
        </w:rPr>
        <w:t>5.</w:t>
      </w:r>
      <w:r>
        <w:rPr>
          <w:rFonts w:ascii="黑体" w:hAnsi="黑体" w:eastAsia="黑体"/>
          <w:color w:val="000000" w:themeColor="text1"/>
          <w:szCs w:val="21"/>
          <w14:textFill>
            <w14:solidFill>
              <w14:schemeClr w14:val="tx1"/>
            </w14:solidFill>
          </w14:textFill>
        </w:rPr>
        <w:t xml:space="preserve">5 </w:t>
      </w:r>
      <w:r>
        <w:rPr>
          <w:rFonts w:hint="eastAsia" w:ascii="黑体" w:hAnsi="黑体" w:eastAsia="黑体"/>
          <w:color w:val="000000" w:themeColor="text1"/>
          <w:szCs w:val="21"/>
          <w14:textFill>
            <w14:solidFill>
              <w14:schemeClr w14:val="tx1"/>
            </w14:solidFill>
          </w14:textFill>
        </w:rPr>
        <w:t>数据交换共享</w:t>
      </w:r>
      <w:bookmarkEnd w:id="160"/>
      <w:bookmarkEnd w:id="161"/>
      <w:bookmarkEnd w:id="162"/>
    </w:p>
    <w:p w14:paraId="57D8B278">
      <w:pPr>
        <w:widowControl/>
        <w:spacing w:line="240" w:lineRule="auto"/>
        <w:ind w:firstLine="420" w:firstLineChars="200"/>
        <w:rPr>
          <w:rFonts w:ascii="宋体"/>
          <w:color w:val="000000" w:themeColor="text1"/>
          <w:kern w:val="0"/>
          <w:szCs w:val="20"/>
          <w14:textFill>
            <w14:solidFill>
              <w14:schemeClr w14:val="tx1"/>
            </w14:solidFill>
          </w14:textFill>
          <w14:ligatures w14:val="standardContextual"/>
        </w:rPr>
      </w:pPr>
      <w:r>
        <w:rPr>
          <w:rFonts w:ascii="宋体"/>
          <w:color w:val="000000" w:themeColor="text1"/>
          <w:kern w:val="0"/>
          <w:szCs w:val="20"/>
          <w14:textFill>
            <w14:solidFill>
              <w14:schemeClr w14:val="tx1"/>
            </w14:solidFill>
          </w14:textFill>
          <w14:ligatures w14:val="standardContextual"/>
        </w:rPr>
        <w:t>数据</w:t>
      </w:r>
      <w:r>
        <w:rPr>
          <w:rFonts w:hint="eastAsia" w:ascii="宋体"/>
          <w:color w:val="000000" w:themeColor="text1"/>
          <w:kern w:val="0"/>
          <w:szCs w:val="20"/>
          <w14:textFill>
            <w14:solidFill>
              <w14:schemeClr w14:val="tx1"/>
            </w14:solidFill>
          </w14:textFill>
          <w14:ligatures w14:val="standardContextual"/>
        </w:rPr>
        <w:t>交换共享</w:t>
      </w:r>
      <w:r>
        <w:rPr>
          <w:rFonts w:ascii="宋体"/>
          <w:color w:val="000000" w:themeColor="text1"/>
          <w:kern w:val="0"/>
          <w:szCs w:val="20"/>
          <w14:textFill>
            <w14:solidFill>
              <w14:schemeClr w14:val="tx1"/>
            </w14:solidFill>
          </w14:textFill>
          <w14:ligatures w14:val="standardContextual"/>
        </w:rPr>
        <w:t>时，安全要求</w:t>
      </w:r>
      <w:r>
        <w:rPr>
          <w:rFonts w:hint="eastAsia" w:ascii="宋体"/>
          <w:color w:val="000000" w:themeColor="text1"/>
          <w:kern w:val="0"/>
          <w:szCs w:val="20"/>
          <w14:textFill>
            <w14:solidFill>
              <w14:schemeClr w14:val="tx1"/>
            </w14:solidFill>
          </w14:textFill>
          <w14:ligatures w14:val="standardContextual"/>
        </w:rPr>
        <w:t>应</w:t>
      </w:r>
      <w:r>
        <w:rPr>
          <w:rFonts w:ascii="宋体"/>
          <w:color w:val="000000" w:themeColor="text1"/>
          <w:kern w:val="0"/>
          <w:szCs w:val="20"/>
          <w14:textFill>
            <w14:solidFill>
              <w14:schemeClr w14:val="tx1"/>
            </w14:solidFill>
          </w14:textFill>
          <w14:ligatures w14:val="standardContextual"/>
        </w:rPr>
        <w:t>包括但不限于</w:t>
      </w:r>
      <w:bookmarkStart w:id="163" w:name="OLE_LINK39"/>
      <w:bookmarkStart w:id="164" w:name="OLE_LINK40"/>
      <w:r>
        <w:rPr>
          <w:rFonts w:hint="eastAsia" w:ascii="宋体"/>
          <w:color w:val="000000" w:themeColor="text1"/>
          <w:kern w:val="0"/>
          <w:szCs w:val="20"/>
          <w14:textFill>
            <w14:solidFill>
              <w14:schemeClr w14:val="tx1"/>
            </w14:solidFill>
          </w14:textFill>
          <w14:ligatures w14:val="standardContextual"/>
        </w:rPr>
        <w:t>下列内容。</w:t>
      </w:r>
      <w:bookmarkEnd w:id="163"/>
      <w:bookmarkEnd w:id="164"/>
    </w:p>
    <w:p w14:paraId="2F4397B6">
      <w:pPr>
        <w:pStyle w:val="26"/>
        <w:numPr>
          <w:ilvl w:val="0"/>
          <w:numId w:val="1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数据交换共享</w:t>
      </w:r>
      <w:r>
        <w:rPr>
          <w:color w:val="000000" w:themeColor="text1"/>
          <w14:textFill>
            <w14:solidFill>
              <w14:schemeClr w14:val="tx1"/>
            </w14:solidFill>
          </w14:textFill>
        </w:rPr>
        <w:t>应符合国家信息安全和保密相关规定，内容包括元数据、数据实体</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其</w:t>
      </w:r>
      <w:r>
        <w:rPr>
          <w:rFonts w:hint="eastAsia"/>
          <w:color w:val="000000" w:themeColor="text1"/>
          <w14:textFill>
            <w14:solidFill>
              <w14:schemeClr w14:val="tx1"/>
            </w14:solidFill>
          </w14:textFill>
        </w:rPr>
        <w:t>他</w:t>
      </w:r>
      <w:r>
        <w:rPr>
          <w:color w:val="000000" w:themeColor="text1"/>
          <w14:textFill>
            <w14:solidFill>
              <w14:schemeClr w14:val="tx1"/>
            </w14:solidFill>
          </w14:textFill>
        </w:rPr>
        <w:t>相关信息。</w:t>
      </w:r>
    </w:p>
    <w:p w14:paraId="4F1FED18">
      <w:pPr>
        <w:pStyle w:val="26"/>
        <w:numPr>
          <w:ilvl w:val="0"/>
          <w:numId w:val="17"/>
        </w:numPr>
        <w:ind w:firstLineChars="0"/>
        <w:rPr>
          <w:color w:val="000000" w:themeColor="text1"/>
          <w14:textFill>
            <w14:solidFill>
              <w14:schemeClr w14:val="tx1"/>
            </w14:solidFill>
          </w14:textFill>
        </w:rPr>
      </w:pPr>
      <w:r>
        <w:rPr>
          <w:color w:val="000000" w:themeColor="text1"/>
          <w14:textFill>
            <w14:solidFill>
              <w14:schemeClr w14:val="tx1"/>
            </w14:solidFill>
          </w14:textFill>
        </w:rPr>
        <w:t>遵循责任</w:t>
      </w:r>
      <w:r>
        <w:rPr>
          <w:rFonts w:hint="eastAsia"/>
          <w:color w:val="000000" w:themeColor="text1"/>
          <w14:textFill>
            <w14:solidFill>
              <w14:schemeClr w14:val="tx1"/>
            </w14:solidFill>
          </w14:textFill>
        </w:rPr>
        <w:t>随</w:t>
      </w:r>
      <w:r>
        <w:rPr>
          <w:color w:val="000000" w:themeColor="text1"/>
          <w14:textFill>
            <w14:solidFill>
              <w14:schemeClr w14:val="tx1"/>
            </w14:solidFill>
          </w14:textFill>
        </w:rPr>
        <w:t>数据转移原则。</w:t>
      </w:r>
    </w:p>
    <w:p w14:paraId="16D7929B">
      <w:pPr>
        <w:pStyle w:val="26"/>
        <w:numPr>
          <w:ilvl w:val="0"/>
          <w:numId w:val="17"/>
        </w:numPr>
        <w:ind w:firstLineChars="0"/>
        <w:rPr>
          <w:color w:val="000000" w:themeColor="text1"/>
          <w14:textFill>
            <w14:solidFill>
              <w14:schemeClr w14:val="tx1"/>
            </w14:solidFill>
          </w14:textFill>
        </w:rPr>
      </w:pPr>
      <w:r>
        <w:rPr>
          <w:color w:val="000000" w:themeColor="text1"/>
          <w14:textFill>
            <w14:solidFill>
              <w14:schemeClr w14:val="tx1"/>
            </w14:solidFill>
          </w14:textFill>
        </w:rPr>
        <w:t>在数据</w:t>
      </w:r>
      <w:r>
        <w:rPr>
          <w:rFonts w:hint="eastAsia"/>
          <w:color w:val="000000" w:themeColor="text1"/>
          <w14:textFill>
            <w14:solidFill>
              <w14:schemeClr w14:val="tx1"/>
            </w14:solidFill>
          </w14:textFill>
        </w:rPr>
        <w:t>共享</w:t>
      </w:r>
      <w:r>
        <w:rPr>
          <w:color w:val="000000" w:themeColor="text1"/>
          <w14:textFill>
            <w14:solidFill>
              <w14:schemeClr w14:val="tx1"/>
            </w14:solidFill>
          </w14:textFill>
        </w:rPr>
        <w:t>前，对数据进行风险评估，确保数据</w:t>
      </w:r>
      <w:r>
        <w:rPr>
          <w:rFonts w:hint="eastAsia"/>
          <w:color w:val="000000" w:themeColor="text1"/>
          <w14:textFill>
            <w14:solidFill>
              <w14:schemeClr w14:val="tx1"/>
            </w14:solidFill>
          </w14:textFill>
        </w:rPr>
        <w:t>共享</w:t>
      </w:r>
      <w:r>
        <w:rPr>
          <w:color w:val="000000" w:themeColor="text1"/>
          <w14:textFill>
            <w14:solidFill>
              <w14:schemeClr w14:val="tx1"/>
            </w14:solidFill>
          </w14:textFill>
        </w:rPr>
        <w:t>后的风险可承受，并通过合同明确数据接收方的数据保护责任。</w:t>
      </w:r>
    </w:p>
    <w:p w14:paraId="671FF276">
      <w:pPr>
        <w:pStyle w:val="26"/>
        <w:numPr>
          <w:ilvl w:val="0"/>
          <w:numId w:val="17"/>
        </w:numPr>
        <w:ind w:firstLineChars="0"/>
        <w:rPr>
          <w:color w:val="000000" w:themeColor="text1"/>
          <w14:textFill>
            <w14:solidFill>
              <w14:schemeClr w14:val="tx1"/>
            </w14:solidFill>
          </w14:textFill>
        </w:rPr>
      </w:pPr>
      <w:r>
        <w:rPr>
          <w:color w:val="000000" w:themeColor="text1"/>
          <w14:textFill>
            <w14:solidFill>
              <w14:schemeClr w14:val="tx1"/>
            </w14:solidFill>
          </w14:textFill>
        </w:rPr>
        <w:t>在数据</w:t>
      </w:r>
      <w:r>
        <w:rPr>
          <w:rFonts w:hint="eastAsia"/>
          <w:color w:val="000000" w:themeColor="text1"/>
          <w14:textFill>
            <w14:solidFill>
              <w14:schemeClr w14:val="tx1"/>
            </w14:solidFill>
          </w14:textFill>
        </w:rPr>
        <w:t>共享</w:t>
      </w:r>
      <w:r>
        <w:rPr>
          <w:color w:val="000000" w:themeColor="text1"/>
          <w14:textFill>
            <w14:solidFill>
              <w14:schemeClr w14:val="tx1"/>
            </w14:solidFill>
          </w14:textFill>
        </w:rPr>
        <w:t>前，对数据的敏感性进行评估，根据评估结果对需要</w:t>
      </w:r>
      <w:r>
        <w:rPr>
          <w:rFonts w:hint="eastAsia"/>
          <w:color w:val="000000" w:themeColor="text1"/>
          <w14:textFill>
            <w14:solidFill>
              <w14:schemeClr w14:val="tx1"/>
            </w14:solidFill>
          </w14:textFill>
        </w:rPr>
        <w:t>共享</w:t>
      </w:r>
      <w:r>
        <w:rPr>
          <w:color w:val="000000" w:themeColor="text1"/>
          <w14:textFill>
            <w14:solidFill>
              <w14:schemeClr w14:val="tx1"/>
            </w14:solidFill>
          </w14:textFill>
        </w:rPr>
        <w:t>的敏感信息进行脱敏操作。</w:t>
      </w:r>
    </w:p>
    <w:p w14:paraId="4FA594DF">
      <w:pPr>
        <w:pStyle w:val="26"/>
        <w:numPr>
          <w:ilvl w:val="0"/>
          <w:numId w:val="17"/>
        </w:numPr>
        <w:ind w:firstLineChars="0"/>
        <w:rPr>
          <w:color w:val="000000" w:themeColor="text1"/>
          <w14:textFill>
            <w14:solidFill>
              <w14:schemeClr w14:val="tx1"/>
            </w14:solidFill>
          </w14:textFill>
        </w:rPr>
      </w:pPr>
      <w:r>
        <w:rPr>
          <w:color w:val="000000" w:themeColor="text1"/>
          <w14:textFill>
            <w14:solidFill>
              <w14:schemeClr w14:val="tx1"/>
            </w14:solidFill>
          </w14:textFill>
        </w:rPr>
        <w:t>遵循可审计原则，记录时间、分发数据</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数据接收方等相关信息。</w:t>
      </w:r>
    </w:p>
    <w:p w14:paraId="1E4D2075">
      <w:pPr>
        <w:pStyle w:val="26"/>
        <w:numPr>
          <w:ilvl w:val="0"/>
          <w:numId w:val="17"/>
        </w:numPr>
        <w:ind w:firstLineChars="0"/>
        <w:rPr>
          <w:color w:val="000000" w:themeColor="text1"/>
          <w14:textFill>
            <w14:solidFill>
              <w14:schemeClr w14:val="tx1"/>
            </w14:solidFill>
          </w14:textFill>
        </w:rPr>
      </w:pPr>
      <w:r>
        <w:rPr>
          <w:color w:val="000000" w:themeColor="text1"/>
          <w14:textFill>
            <w14:solidFill>
              <w14:schemeClr w14:val="tx1"/>
            </w14:solidFill>
          </w14:textFill>
        </w:rPr>
        <w:t>评估数据</w:t>
      </w:r>
      <w:r>
        <w:rPr>
          <w:rFonts w:hint="eastAsia"/>
          <w:color w:val="000000" w:themeColor="text1"/>
          <w14:textFill>
            <w14:solidFill>
              <w14:schemeClr w14:val="tx1"/>
            </w14:solidFill>
          </w14:textFill>
        </w:rPr>
        <w:t>共享</w:t>
      </w:r>
      <w:r>
        <w:rPr>
          <w:color w:val="000000" w:themeColor="text1"/>
          <w14:textFill>
            <w14:solidFill>
              <w14:schemeClr w14:val="tx1"/>
            </w14:solidFill>
          </w14:textFill>
        </w:rPr>
        <w:t>中的传输安全风险，确保数据传输安全。</w:t>
      </w:r>
    </w:p>
    <w:p w14:paraId="0FE2DC22">
      <w:pPr>
        <w:pStyle w:val="26"/>
        <w:numPr>
          <w:ilvl w:val="0"/>
          <w:numId w:val="17"/>
        </w:numPr>
        <w:ind w:firstLineChars="0"/>
        <w:rPr>
          <w:color w:val="000000" w:themeColor="text1"/>
          <w14:textFill>
            <w14:solidFill>
              <w14:schemeClr w14:val="tx1"/>
            </w14:solidFill>
          </w14:textFill>
        </w:rPr>
      </w:pPr>
      <w:r>
        <w:rPr>
          <w:color w:val="000000" w:themeColor="text1"/>
          <w14:textFill>
            <w14:solidFill>
              <w14:schemeClr w14:val="tx1"/>
            </w14:solidFill>
          </w14:textFill>
        </w:rPr>
        <w:t>提供有效的数据安全共享机制。</w:t>
      </w:r>
    </w:p>
    <w:p w14:paraId="0D23BD9A">
      <w:pPr>
        <w:pStyle w:val="26"/>
        <w:numPr>
          <w:ilvl w:val="0"/>
          <w:numId w:val="17"/>
        </w:numPr>
        <w:ind w:firstLineChars="0"/>
        <w:rPr>
          <w:color w:val="000000" w:themeColor="text1"/>
          <w14:textFill>
            <w14:solidFill>
              <w14:schemeClr w14:val="tx1"/>
            </w14:solidFill>
          </w14:textFill>
        </w:rPr>
      </w:pPr>
      <w:r>
        <w:rPr>
          <w:color w:val="000000" w:themeColor="text1"/>
          <w14:textFill>
            <w14:solidFill>
              <w14:schemeClr w14:val="tx1"/>
            </w14:solidFill>
          </w14:textFill>
        </w:rPr>
        <w:t>建立数据发布的审核制度，明确数据发布的内容和范围。对发布的数据开展定期审核。</w:t>
      </w:r>
    </w:p>
    <w:p w14:paraId="2F2D67BB">
      <w:pPr>
        <w:pStyle w:val="26"/>
        <w:numPr>
          <w:ilvl w:val="0"/>
          <w:numId w:val="1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数据传输过程中，应当</w:t>
      </w:r>
      <w:r>
        <w:rPr>
          <w:color w:val="000000" w:themeColor="text1"/>
          <w14:textFill>
            <w14:solidFill>
              <w14:schemeClr w14:val="tx1"/>
            </w14:solidFill>
          </w14:textFill>
        </w:rPr>
        <w:t>根据传输的数据类型、级别和应用场景，制定安全策略并采取保护措施</w:t>
      </w:r>
      <w:r>
        <w:rPr>
          <w:rFonts w:hint="eastAsia"/>
          <w:color w:val="000000" w:themeColor="text1"/>
          <w14:textFill>
            <w14:solidFill>
              <w14:schemeClr w14:val="tx1"/>
            </w14:solidFill>
          </w14:textFill>
        </w:rPr>
        <w:t>。针对隐私和机密数据传输，</w:t>
      </w:r>
      <w:r>
        <w:rPr>
          <w:color w:val="000000" w:themeColor="text1"/>
          <w14:textFill>
            <w14:solidFill>
              <w14:schemeClr w14:val="tx1"/>
            </w14:solidFill>
          </w14:textFill>
        </w:rPr>
        <w:t>应当采取校验技术、密码技术、安全传输通道或者安全传输协议等措施</w:t>
      </w:r>
      <w:r>
        <w:rPr>
          <w:rFonts w:hint="eastAsia"/>
          <w:color w:val="000000" w:themeColor="text1"/>
          <w14:textFill>
            <w14:solidFill>
              <w14:schemeClr w14:val="tx1"/>
            </w14:solidFill>
          </w14:textFill>
        </w:rPr>
        <w:t>。</w:t>
      </w:r>
    </w:p>
    <w:p w14:paraId="7BF13FE8">
      <w:pPr>
        <w:pStyle w:val="26"/>
        <w:numPr>
          <w:ilvl w:val="0"/>
          <w:numId w:val="17"/>
        </w:numPr>
        <w:ind w:firstLineChars="0"/>
        <w:rPr>
          <w:color w:val="000000" w:themeColor="text1"/>
          <w14:textFill>
            <w14:solidFill>
              <w14:schemeClr w14:val="tx1"/>
            </w14:solidFill>
          </w14:textFill>
        </w:rPr>
      </w:pPr>
      <w:r>
        <w:rPr>
          <w:color w:val="000000" w:themeColor="text1"/>
          <w14:textFill>
            <w14:solidFill>
              <w14:schemeClr w14:val="tx1"/>
            </w14:solidFill>
          </w14:textFill>
        </w:rPr>
        <w:t>数据中台将治理后的数据推送到交换共享平台的共享库，</w:t>
      </w:r>
      <w:r>
        <w:rPr>
          <w:rFonts w:hint="eastAsia"/>
          <w:color w:val="000000" w:themeColor="text1"/>
          <w14:textFill>
            <w14:solidFill>
              <w14:schemeClr w14:val="tx1"/>
            </w14:solidFill>
          </w14:textFill>
        </w:rPr>
        <w:t>应</w:t>
      </w:r>
      <w:r>
        <w:rPr>
          <w:color w:val="000000" w:themeColor="text1"/>
          <w14:textFill>
            <w14:solidFill>
              <w14:schemeClr w14:val="tx1"/>
            </w14:solidFill>
          </w14:textFill>
        </w:rPr>
        <w:t>采用数据中台的数据传输管道功能。数据传输管道</w:t>
      </w:r>
      <w:r>
        <w:rPr>
          <w:rFonts w:hint="eastAsia"/>
          <w:color w:val="000000" w:themeColor="text1"/>
          <w14:textFill>
            <w14:solidFill>
              <w14:schemeClr w14:val="tx1"/>
            </w14:solidFill>
          </w14:textFill>
        </w:rPr>
        <w:t>应</w:t>
      </w:r>
      <w:r>
        <w:rPr>
          <w:color w:val="000000" w:themeColor="text1"/>
          <w14:textFill>
            <w14:solidFill>
              <w14:schemeClr w14:val="tx1"/>
            </w14:solidFill>
          </w14:textFill>
        </w:rPr>
        <w:t>配备敏感数据加密、解密、脱敏</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还原等功能。数据交换共享阶段，</w:t>
      </w:r>
      <w:r>
        <w:rPr>
          <w:rFonts w:hint="eastAsia"/>
          <w:color w:val="000000" w:themeColor="text1"/>
          <w14:textFill>
            <w14:solidFill>
              <w14:schemeClr w14:val="tx1"/>
            </w14:solidFill>
          </w14:textFill>
        </w:rPr>
        <w:t>应</w:t>
      </w:r>
      <w:r>
        <w:rPr>
          <w:color w:val="000000" w:themeColor="text1"/>
          <w14:textFill>
            <w14:solidFill>
              <w14:schemeClr w14:val="tx1"/>
            </w14:solidFill>
          </w14:textFill>
        </w:rPr>
        <w:t>考虑</w:t>
      </w:r>
      <w:r>
        <w:rPr>
          <w:rFonts w:hint="eastAsia"/>
          <w:color w:val="000000" w:themeColor="text1"/>
          <w14:textFill>
            <w14:solidFill>
              <w14:schemeClr w14:val="tx1"/>
            </w14:solidFill>
          </w14:textFill>
        </w:rPr>
        <w:t>下列情况</w:t>
      </w:r>
      <w:r>
        <w:rPr>
          <w:color w:val="000000" w:themeColor="text1"/>
          <w14:textFill>
            <w14:solidFill>
              <w14:schemeClr w14:val="tx1"/>
            </w14:solidFill>
          </w14:textFill>
        </w:rPr>
        <w:t>：</w:t>
      </w:r>
    </w:p>
    <w:p w14:paraId="712D925A">
      <w:pPr>
        <w:pStyle w:val="28"/>
        <w:widowControl/>
        <w:numPr>
          <w:ilvl w:val="0"/>
          <w:numId w:val="18"/>
        </w:numPr>
        <w:spacing w:line="240" w:lineRule="auto"/>
        <w:ind w:firstLineChars="0"/>
        <w:rPr>
          <w:rFonts w:ascii="宋体"/>
          <w:color w:val="000000" w:themeColor="text1"/>
          <w:kern w:val="0"/>
          <w:szCs w:val="20"/>
          <w14:textFill>
            <w14:solidFill>
              <w14:schemeClr w14:val="tx1"/>
            </w14:solidFill>
          </w14:textFill>
          <w14:ligatures w14:val="standardContextual"/>
        </w:rPr>
      </w:pPr>
      <w:r>
        <w:rPr>
          <w:rFonts w:ascii="宋体"/>
          <w:color w:val="000000" w:themeColor="text1"/>
          <w:kern w:val="0"/>
          <w:szCs w:val="20"/>
          <w14:textFill>
            <w14:solidFill>
              <w14:schemeClr w14:val="tx1"/>
            </w14:solidFill>
          </w14:textFill>
          <w14:ligatures w14:val="standardContextual"/>
        </w:rPr>
        <w:t>交换共享库</w:t>
      </w:r>
      <w:r>
        <w:rPr>
          <w:rFonts w:hint="eastAsia" w:ascii="宋体"/>
          <w:color w:val="000000" w:themeColor="text1"/>
          <w:kern w:val="0"/>
          <w:szCs w:val="20"/>
          <w14:textFill>
            <w14:solidFill>
              <w14:schemeClr w14:val="tx1"/>
            </w14:solidFill>
          </w14:textFill>
          <w14:ligatures w14:val="standardContextual"/>
        </w:rPr>
        <w:t>需要</w:t>
      </w:r>
      <w:r>
        <w:rPr>
          <w:rFonts w:ascii="宋体"/>
          <w:color w:val="000000" w:themeColor="text1"/>
          <w:kern w:val="0"/>
          <w:szCs w:val="20"/>
          <w14:textFill>
            <w14:solidFill>
              <w14:schemeClr w14:val="tx1"/>
            </w14:solidFill>
          </w14:textFill>
          <w14:ligatures w14:val="standardContextual"/>
        </w:rPr>
        <w:t>明文：数据中台通过数据传输管道将数据提供给交换共享库，交换共享库</w:t>
      </w:r>
      <w:r>
        <w:rPr>
          <w:rFonts w:hint="eastAsia" w:ascii="宋体"/>
          <w:color w:val="000000" w:themeColor="text1"/>
          <w:kern w:val="0"/>
          <w:szCs w:val="20"/>
          <w14:textFill>
            <w14:solidFill>
              <w14:schemeClr w14:val="tx1"/>
            </w14:solidFill>
          </w14:textFill>
          <w14:ligatures w14:val="standardContextual"/>
        </w:rPr>
        <w:t>需要</w:t>
      </w:r>
      <w:r>
        <w:rPr>
          <w:rFonts w:ascii="宋体"/>
          <w:color w:val="000000" w:themeColor="text1"/>
          <w:kern w:val="0"/>
          <w:szCs w:val="20"/>
          <w14:textFill>
            <w14:solidFill>
              <w14:schemeClr w14:val="tx1"/>
            </w14:solidFill>
          </w14:textFill>
          <w14:ligatures w14:val="standardContextual"/>
        </w:rPr>
        <w:t>明文。此时，数据中台</w:t>
      </w:r>
      <w:r>
        <w:rPr>
          <w:rFonts w:hint="eastAsia" w:ascii="宋体"/>
          <w:color w:val="000000" w:themeColor="text1"/>
          <w:kern w:val="0"/>
          <w:szCs w:val="20"/>
          <w14:textFill>
            <w14:solidFill>
              <w14:schemeClr w14:val="tx1"/>
            </w14:solidFill>
          </w14:textFill>
          <w14:ligatures w14:val="standardContextual"/>
        </w:rPr>
        <w:t>应</w:t>
      </w:r>
      <w:r>
        <w:rPr>
          <w:rFonts w:ascii="宋体"/>
          <w:color w:val="000000" w:themeColor="text1"/>
          <w:kern w:val="0"/>
          <w:szCs w:val="20"/>
          <w14:textFill>
            <w14:solidFill>
              <w14:schemeClr w14:val="tx1"/>
            </w14:solidFill>
          </w14:textFill>
          <w14:ligatures w14:val="standardContextual"/>
        </w:rPr>
        <w:t>在数据传输管道将加密/脱敏数据进行解密/还原。</w:t>
      </w:r>
    </w:p>
    <w:p w14:paraId="7C547643">
      <w:pPr>
        <w:pStyle w:val="28"/>
        <w:widowControl/>
        <w:numPr>
          <w:ilvl w:val="0"/>
          <w:numId w:val="18"/>
        </w:numPr>
        <w:spacing w:line="240" w:lineRule="auto"/>
        <w:ind w:firstLineChars="0"/>
        <w:rPr>
          <w:rFonts w:ascii="宋体"/>
          <w:color w:val="000000" w:themeColor="text1"/>
          <w:kern w:val="0"/>
          <w:szCs w:val="20"/>
          <w14:textFill>
            <w14:solidFill>
              <w14:schemeClr w14:val="tx1"/>
            </w14:solidFill>
          </w14:textFill>
          <w14:ligatures w14:val="standardContextual"/>
        </w:rPr>
      </w:pPr>
      <w:r>
        <w:rPr>
          <w:rFonts w:ascii="宋体"/>
          <w:color w:val="000000" w:themeColor="text1"/>
          <w:kern w:val="0"/>
          <w:szCs w:val="20"/>
          <w14:textFill>
            <w14:solidFill>
              <w14:schemeClr w14:val="tx1"/>
            </w14:solidFill>
          </w14:textFill>
          <w14:ligatures w14:val="standardContextual"/>
        </w:rPr>
        <w:t>交换共享库</w:t>
      </w:r>
      <w:r>
        <w:rPr>
          <w:rFonts w:hint="eastAsia" w:ascii="宋体"/>
          <w:color w:val="000000" w:themeColor="text1"/>
          <w:kern w:val="0"/>
          <w:szCs w:val="20"/>
          <w14:textFill>
            <w14:solidFill>
              <w14:schemeClr w14:val="tx1"/>
            </w14:solidFill>
          </w14:textFill>
          <w14:ligatures w14:val="standardContextual"/>
        </w:rPr>
        <w:t>需要</w:t>
      </w:r>
      <w:r>
        <w:rPr>
          <w:rFonts w:ascii="宋体"/>
          <w:color w:val="000000" w:themeColor="text1"/>
          <w:kern w:val="0"/>
          <w:szCs w:val="20"/>
          <w14:textFill>
            <w14:solidFill>
              <w14:schemeClr w14:val="tx1"/>
            </w14:solidFill>
          </w14:textFill>
          <w14:ligatures w14:val="standardContextual"/>
        </w:rPr>
        <w:t>密文：数据中台通过数据传输管道将数据提供给交换共享库，交换共享库需要密文。此时，数据中台</w:t>
      </w:r>
      <w:r>
        <w:rPr>
          <w:rFonts w:hint="eastAsia" w:ascii="宋体"/>
          <w:color w:val="000000" w:themeColor="text1"/>
          <w:kern w:val="0"/>
          <w:szCs w:val="20"/>
          <w14:textFill>
            <w14:solidFill>
              <w14:schemeClr w14:val="tx1"/>
            </w14:solidFill>
          </w14:textFill>
          <w14:ligatures w14:val="standardContextual"/>
        </w:rPr>
        <w:t>应</w:t>
      </w:r>
      <w:r>
        <w:rPr>
          <w:rFonts w:ascii="宋体"/>
          <w:color w:val="000000" w:themeColor="text1"/>
          <w:kern w:val="0"/>
          <w:szCs w:val="20"/>
          <w14:textFill>
            <w14:solidFill>
              <w14:schemeClr w14:val="tx1"/>
            </w14:solidFill>
          </w14:textFill>
          <w14:ligatures w14:val="standardContextual"/>
        </w:rPr>
        <w:t>直接将加密/脱敏数据传输给交换共享库，并将解密秘钥/还原算法一并提供给交换共享库。</w:t>
      </w:r>
    </w:p>
    <w:p w14:paraId="4F49D403">
      <w:pPr>
        <w:pStyle w:val="26"/>
        <w:numPr>
          <w:ilvl w:val="0"/>
          <w:numId w:val="1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确保目标库数据安全。</w:t>
      </w:r>
      <w:r>
        <w:rPr>
          <w:color w:val="000000" w:themeColor="text1"/>
          <w14:textFill>
            <w14:solidFill>
              <w14:schemeClr w14:val="tx1"/>
            </w14:solidFill>
          </w14:textFill>
        </w:rPr>
        <w:t>数据被推送到交换共享库（目标库，一般是前置机共享库），如果是明文，则数据安全</w:t>
      </w:r>
      <w:r>
        <w:rPr>
          <w:rFonts w:hint="eastAsia"/>
          <w:color w:val="000000" w:themeColor="text1"/>
          <w14:textFill>
            <w14:solidFill>
              <w14:schemeClr w14:val="tx1"/>
            </w14:solidFill>
          </w14:textFill>
        </w:rPr>
        <w:t>应</w:t>
      </w:r>
      <w:r>
        <w:rPr>
          <w:color w:val="000000" w:themeColor="text1"/>
          <w14:textFill>
            <w14:solidFill>
              <w14:schemeClr w14:val="tx1"/>
            </w14:solidFill>
          </w14:textFill>
        </w:rPr>
        <w:t>由数据需求方负责。如果是密文，则数据需求方</w:t>
      </w:r>
      <w:r>
        <w:rPr>
          <w:rFonts w:hint="eastAsia"/>
          <w:color w:val="000000" w:themeColor="text1"/>
          <w14:textFill>
            <w14:solidFill>
              <w14:schemeClr w14:val="tx1"/>
            </w14:solidFill>
          </w14:textFill>
        </w:rPr>
        <w:t>应</w:t>
      </w:r>
      <w:r>
        <w:rPr>
          <w:color w:val="000000" w:themeColor="text1"/>
          <w14:textFill>
            <w14:solidFill>
              <w14:schemeClr w14:val="tx1"/>
            </w14:solidFill>
          </w14:textFill>
        </w:rPr>
        <w:t>对解密秘钥/还原算法进行严格管理，保障数据安全</w:t>
      </w:r>
      <w:r>
        <w:rPr>
          <w:rFonts w:hint="eastAsia"/>
          <w:color w:val="000000" w:themeColor="text1"/>
          <w14:textFill>
            <w14:solidFill>
              <w14:schemeClr w14:val="tx1"/>
            </w14:solidFill>
          </w14:textFill>
        </w:rPr>
        <w:t>。</w:t>
      </w:r>
    </w:p>
    <w:p w14:paraId="5E5751AD">
      <w:pPr>
        <w:pStyle w:val="26"/>
        <w:numPr>
          <w:ilvl w:val="0"/>
          <w:numId w:val="1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确保文件共享的安全性保障，可采用下列技术措施：</w:t>
      </w:r>
    </w:p>
    <w:p w14:paraId="56E54AD7">
      <w:pPr>
        <w:pStyle w:val="28"/>
        <w:widowControl/>
        <w:numPr>
          <w:ilvl w:val="0"/>
          <w:numId w:val="19"/>
        </w:numPr>
        <w:spacing w:line="240" w:lineRule="auto"/>
        <w:ind w:firstLineChars="0"/>
        <w:rPr>
          <w:rFonts w:ascii="宋体"/>
          <w:color w:val="000000" w:themeColor="text1"/>
          <w:kern w:val="0"/>
          <w:szCs w:val="20"/>
          <w14:textFill>
            <w14:solidFill>
              <w14:schemeClr w14:val="tx1"/>
            </w14:solidFill>
          </w14:textFill>
          <w14:ligatures w14:val="standardContextual"/>
        </w:rPr>
      </w:pPr>
      <w:r>
        <w:rPr>
          <w:rFonts w:ascii="宋体"/>
          <w:color w:val="000000" w:themeColor="text1"/>
          <w:kern w:val="0"/>
          <w:szCs w:val="20"/>
          <w14:textFill>
            <w14:solidFill>
              <w14:schemeClr w14:val="tx1"/>
            </w14:solidFill>
          </w14:textFill>
          <w14:ligatures w14:val="standardContextual"/>
        </w:rPr>
        <w:t>文件所有者和文件申请者可在自己的文件存储系统进行加密，且双方加密算法可不统一。加密算法可选择：IDEA算法、RSA算法</w:t>
      </w:r>
      <w:r>
        <w:rPr>
          <w:rFonts w:hint="eastAsia" w:ascii="宋体"/>
          <w:color w:val="000000" w:themeColor="text1"/>
          <w:kern w:val="0"/>
          <w:szCs w:val="20"/>
          <w14:textFill>
            <w14:solidFill>
              <w14:schemeClr w14:val="tx1"/>
            </w14:solidFill>
          </w14:textFill>
          <w14:ligatures w14:val="standardContextual"/>
        </w:rPr>
        <w:t>和</w:t>
      </w:r>
      <w:r>
        <w:rPr>
          <w:rFonts w:ascii="宋体"/>
          <w:color w:val="000000" w:themeColor="text1"/>
          <w:kern w:val="0"/>
          <w:szCs w:val="20"/>
          <w14:textFill>
            <w14:solidFill>
              <w14:schemeClr w14:val="tx1"/>
            </w14:solidFill>
          </w14:textFill>
          <w14:ligatures w14:val="standardContextual"/>
        </w:rPr>
        <w:t>AES算法</w:t>
      </w:r>
      <w:r>
        <w:rPr>
          <w:rFonts w:hint="eastAsia" w:ascii="宋体"/>
          <w:color w:val="000000" w:themeColor="text1"/>
          <w:kern w:val="0"/>
          <w:szCs w:val="20"/>
          <w14:textFill>
            <w14:solidFill>
              <w14:schemeClr w14:val="tx1"/>
            </w14:solidFill>
          </w14:textFill>
          <w14:ligatures w14:val="standardContextual"/>
        </w:rPr>
        <w:t>等</w:t>
      </w:r>
      <w:r>
        <w:rPr>
          <w:rFonts w:ascii="宋体"/>
          <w:color w:val="000000" w:themeColor="text1"/>
          <w:kern w:val="0"/>
          <w:szCs w:val="20"/>
          <w14:textFill>
            <w14:solidFill>
              <w14:schemeClr w14:val="tx1"/>
            </w14:solidFill>
          </w14:textFill>
          <w14:ligatures w14:val="standardContextual"/>
        </w:rPr>
        <w:t>，可根据存储系统配置的算法功能选择加密算法。文件存储系统可采用NAS文件存储、OSS对象存储等常见的文件存储系统。为了让文件申请者能够成功解密文件，文件所有者在提供文件的时候，</w:t>
      </w:r>
      <w:r>
        <w:rPr>
          <w:rFonts w:hint="eastAsia" w:ascii="宋体"/>
          <w:color w:val="000000" w:themeColor="text1"/>
          <w:kern w:val="0"/>
          <w:szCs w:val="20"/>
          <w14:textFill>
            <w14:solidFill>
              <w14:schemeClr w14:val="tx1"/>
            </w14:solidFill>
          </w14:textFill>
          <w14:ligatures w14:val="standardContextual"/>
        </w:rPr>
        <w:t>应</w:t>
      </w:r>
      <w:r>
        <w:rPr>
          <w:rFonts w:ascii="宋体"/>
          <w:color w:val="000000" w:themeColor="text1"/>
          <w:kern w:val="0"/>
          <w:szCs w:val="20"/>
          <w14:textFill>
            <w14:solidFill>
              <w14:schemeClr w14:val="tx1"/>
            </w14:solidFill>
          </w14:textFill>
          <w14:ligatures w14:val="standardContextual"/>
        </w:rPr>
        <w:t>附带文件解密秘钥</w:t>
      </w:r>
      <w:r>
        <w:rPr>
          <w:rFonts w:hint="eastAsia" w:ascii="宋体"/>
          <w:color w:val="000000" w:themeColor="text1"/>
          <w:kern w:val="0"/>
          <w:szCs w:val="20"/>
          <w14:textFill>
            <w14:solidFill>
              <w14:schemeClr w14:val="tx1"/>
            </w14:solidFill>
          </w14:textFill>
          <w14:ligatures w14:val="standardContextual"/>
        </w:rPr>
        <w:t>。</w:t>
      </w:r>
    </w:p>
    <w:p w14:paraId="3574F0A6">
      <w:pPr>
        <w:pStyle w:val="28"/>
        <w:widowControl/>
        <w:numPr>
          <w:ilvl w:val="0"/>
          <w:numId w:val="19"/>
        </w:numPr>
        <w:spacing w:line="240" w:lineRule="auto"/>
        <w:ind w:firstLineChars="0"/>
        <w:rPr>
          <w:rFonts w:ascii="宋体"/>
          <w:color w:val="000000" w:themeColor="text1"/>
          <w:kern w:val="0"/>
          <w:szCs w:val="20"/>
          <w14:textFill>
            <w14:solidFill>
              <w14:schemeClr w14:val="tx1"/>
            </w14:solidFill>
          </w14:textFill>
          <w14:ligatures w14:val="standardContextual"/>
        </w:rPr>
      </w:pPr>
      <w:r>
        <w:rPr>
          <w:rFonts w:ascii="宋体"/>
          <w:color w:val="000000" w:themeColor="text1"/>
          <w:kern w:val="0"/>
          <w:szCs w:val="20"/>
          <w14:textFill>
            <w14:solidFill>
              <w14:schemeClr w14:val="tx1"/>
            </w14:solidFill>
          </w14:textFill>
          <w14:ligatures w14:val="standardContextual"/>
        </w:rPr>
        <w:t>文件所有者将文件传输给申请者的文件存储系统，</w:t>
      </w:r>
      <w:r>
        <w:rPr>
          <w:rFonts w:hint="eastAsia" w:ascii="宋体"/>
          <w:color w:val="000000" w:themeColor="text1"/>
          <w:kern w:val="0"/>
          <w:szCs w:val="20"/>
          <w14:textFill>
            <w14:solidFill>
              <w14:schemeClr w14:val="tx1"/>
            </w14:solidFill>
          </w14:textFill>
          <w14:ligatures w14:val="standardContextual"/>
        </w:rPr>
        <w:t>应</w:t>
      </w:r>
      <w:r>
        <w:rPr>
          <w:rFonts w:ascii="宋体"/>
          <w:color w:val="000000" w:themeColor="text1"/>
          <w:kern w:val="0"/>
          <w:szCs w:val="20"/>
          <w14:textFill>
            <w14:solidFill>
              <w14:schemeClr w14:val="tx1"/>
            </w14:solidFill>
          </w14:textFill>
          <w14:ligatures w14:val="standardContextual"/>
        </w:rPr>
        <w:t>采用加密传输通道</w:t>
      </w:r>
      <w:r>
        <w:rPr>
          <w:rFonts w:hint="eastAsia" w:ascii="宋体"/>
          <w:color w:val="000000" w:themeColor="text1"/>
          <w:kern w:val="0"/>
          <w:szCs w:val="20"/>
          <w14:textFill>
            <w14:solidFill>
              <w14:schemeClr w14:val="tx1"/>
            </w14:solidFill>
          </w14:textFill>
          <w14:ligatures w14:val="standardContextual"/>
        </w:rPr>
        <w:t>。</w:t>
      </w:r>
    </w:p>
    <w:p w14:paraId="6240E246">
      <w:pPr>
        <w:pStyle w:val="26"/>
        <w:numPr>
          <w:ilvl w:val="0"/>
          <w:numId w:val="1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数据交易的前提，应先确定数据所属权、评估数据价值。确定数据所属权、评估数据价值的过程中，应符合本文件的6</w:t>
      </w:r>
      <w:r>
        <w:rPr>
          <w:color w:val="000000" w:themeColor="text1"/>
          <w14:textFill>
            <w14:solidFill>
              <w14:schemeClr w14:val="tx1"/>
            </w14:solidFill>
          </w14:textFill>
        </w:rPr>
        <w:t>.5.3</w:t>
      </w:r>
      <w:r>
        <w:rPr>
          <w:rFonts w:hint="eastAsia"/>
          <w:color w:val="000000" w:themeColor="text1"/>
          <w14:textFill>
            <w14:solidFill>
              <w14:schemeClr w14:val="tx1"/>
            </w14:solidFill>
          </w14:textFill>
        </w:rPr>
        <w:t>和6</w:t>
      </w:r>
      <w:r>
        <w:rPr>
          <w:color w:val="000000" w:themeColor="text1"/>
          <w14:textFill>
            <w14:solidFill>
              <w14:schemeClr w14:val="tx1"/>
            </w14:solidFill>
          </w14:textFill>
        </w:rPr>
        <w:t>.5.4</w:t>
      </w:r>
      <w:r>
        <w:rPr>
          <w:rFonts w:hint="eastAsia"/>
          <w:color w:val="000000" w:themeColor="text1"/>
          <w14:textFill>
            <w14:solidFill>
              <w14:schemeClr w14:val="tx1"/>
            </w14:solidFill>
          </w14:textFill>
        </w:rPr>
        <w:t xml:space="preserve"> 的要求。在进行数据交易的过程中，应确保交易双方的重要信息安全，并应符合下列要求：</w:t>
      </w:r>
    </w:p>
    <w:p w14:paraId="6E358CB1">
      <w:pPr>
        <w:pStyle w:val="28"/>
        <w:widowControl/>
        <w:numPr>
          <w:ilvl w:val="0"/>
          <w:numId w:val="20"/>
        </w:numPr>
        <w:spacing w:line="240" w:lineRule="auto"/>
        <w:ind w:firstLineChars="0"/>
        <w:rPr>
          <w:rFonts w:ascii="宋体"/>
          <w:color w:val="000000" w:themeColor="text1"/>
          <w:kern w:val="0"/>
          <w:szCs w:val="20"/>
          <w14:textFill>
            <w14:solidFill>
              <w14:schemeClr w14:val="tx1"/>
            </w14:solidFill>
          </w14:textFill>
          <w14:ligatures w14:val="standardContextual"/>
        </w:rPr>
      </w:pPr>
      <w:r>
        <w:rPr>
          <w:rFonts w:hint="eastAsia" w:ascii="宋体"/>
          <w:color w:val="000000" w:themeColor="text1"/>
          <w:kern w:val="0"/>
          <w:szCs w:val="20"/>
          <w14:textFill>
            <w14:solidFill>
              <w14:schemeClr w14:val="tx1"/>
            </w14:solidFill>
          </w14:textFill>
          <w14:ligatures w14:val="standardContextual"/>
        </w:rPr>
        <w:t>数据交易双方的信息应保密，确保参与数据交易的组织或人员信息安全；</w:t>
      </w:r>
    </w:p>
    <w:p w14:paraId="17634668">
      <w:pPr>
        <w:pStyle w:val="28"/>
        <w:widowControl/>
        <w:numPr>
          <w:ilvl w:val="0"/>
          <w:numId w:val="20"/>
        </w:numPr>
        <w:spacing w:line="240" w:lineRule="auto"/>
        <w:ind w:firstLineChars="0"/>
        <w:rPr>
          <w:rFonts w:ascii="宋体"/>
          <w:color w:val="000000" w:themeColor="text1"/>
          <w:kern w:val="0"/>
          <w:szCs w:val="20"/>
          <w14:textFill>
            <w14:solidFill>
              <w14:schemeClr w14:val="tx1"/>
            </w14:solidFill>
          </w14:textFill>
          <w14:ligatures w14:val="standardContextual"/>
        </w:rPr>
      </w:pPr>
      <w:r>
        <w:rPr>
          <w:rFonts w:hint="eastAsia" w:ascii="宋体"/>
          <w:color w:val="000000" w:themeColor="text1"/>
          <w:kern w:val="0"/>
          <w:szCs w:val="20"/>
          <w14:textFill>
            <w14:solidFill>
              <w14:schemeClr w14:val="tx1"/>
            </w14:solidFill>
          </w14:textFill>
          <w14:ligatures w14:val="standardContextual"/>
        </w:rPr>
        <w:t>应保证数据交易使用的数据传输通道、数据存储系统、数据交易信令的安全。在必要条件下，应采用硬件加密和软件加密双重数据安全保障机制。硬件加密秘钥和软件加密秘钥也应通过专人专责和专业设备进行保护；</w:t>
      </w:r>
    </w:p>
    <w:p w14:paraId="5690D108">
      <w:pPr>
        <w:pStyle w:val="28"/>
        <w:widowControl/>
        <w:numPr>
          <w:ilvl w:val="0"/>
          <w:numId w:val="20"/>
        </w:numPr>
        <w:spacing w:line="240" w:lineRule="auto"/>
        <w:ind w:firstLineChars="0"/>
        <w:rPr>
          <w:rFonts w:ascii="宋体"/>
          <w:color w:val="000000" w:themeColor="text1"/>
          <w:kern w:val="0"/>
          <w:szCs w:val="20"/>
          <w14:textFill>
            <w14:solidFill>
              <w14:schemeClr w14:val="tx1"/>
            </w14:solidFill>
          </w14:textFill>
          <w14:ligatures w14:val="standardContextual"/>
        </w:rPr>
      </w:pPr>
      <w:r>
        <w:rPr>
          <w:rFonts w:hint="eastAsia" w:ascii="宋体"/>
          <w:color w:val="000000" w:themeColor="text1"/>
          <w:kern w:val="0"/>
          <w:szCs w:val="20"/>
          <w14:textFill>
            <w14:solidFill>
              <w14:schemeClr w14:val="tx1"/>
            </w14:solidFill>
          </w14:textFill>
          <w14:ligatures w14:val="standardContextual"/>
        </w:rPr>
        <w:t>应保障数据价值信息的对称性，交易双方需要在封闭且安全的环境中，同时掌握数据价值详细情况。</w:t>
      </w:r>
    </w:p>
    <w:p w14:paraId="0CB0042A">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165" w:name="_Toc177137463"/>
      <w:bookmarkStart w:id="166" w:name="_Toc207032550"/>
      <w:bookmarkStart w:id="167" w:name="_Toc1123061392"/>
      <w:r>
        <w:rPr>
          <w:rFonts w:ascii="黑体" w:hAnsi="黑体" w:eastAsia="黑体"/>
          <w:color w:val="000000" w:themeColor="text1"/>
          <w:szCs w:val="21"/>
          <w14:textFill>
            <w14:solidFill>
              <w14:schemeClr w14:val="tx1"/>
            </w14:solidFill>
          </w14:textFill>
        </w:rPr>
        <w:t>6.</w:t>
      </w:r>
      <w:r>
        <w:rPr>
          <w:rFonts w:hint="eastAsia" w:ascii="黑体" w:hAnsi="黑体" w:eastAsia="黑体"/>
          <w:color w:val="000000" w:themeColor="text1"/>
          <w:szCs w:val="21"/>
          <w14:textFill>
            <w14:solidFill>
              <w14:schemeClr w14:val="tx1"/>
            </w14:solidFill>
          </w14:textFill>
        </w:rPr>
        <w:t>5.</w:t>
      </w:r>
      <w:r>
        <w:rPr>
          <w:rFonts w:ascii="黑体" w:hAnsi="黑体" w:eastAsia="黑体"/>
          <w:color w:val="000000" w:themeColor="text1"/>
          <w:szCs w:val="21"/>
          <w14:textFill>
            <w14:solidFill>
              <w14:schemeClr w14:val="tx1"/>
            </w14:solidFill>
          </w14:textFill>
        </w:rPr>
        <w:t xml:space="preserve">6 </w:t>
      </w:r>
      <w:r>
        <w:rPr>
          <w:rFonts w:hint="eastAsia" w:ascii="黑体" w:hAnsi="黑体" w:eastAsia="黑体"/>
          <w:color w:val="000000" w:themeColor="text1"/>
          <w:szCs w:val="21"/>
          <w14:textFill>
            <w14:solidFill>
              <w14:schemeClr w14:val="tx1"/>
            </w14:solidFill>
          </w14:textFill>
        </w:rPr>
        <w:t>数据销毁</w:t>
      </w:r>
      <w:bookmarkEnd w:id="165"/>
      <w:bookmarkEnd w:id="166"/>
      <w:bookmarkEnd w:id="167"/>
    </w:p>
    <w:p w14:paraId="579C7415">
      <w:pPr>
        <w:widowControl/>
        <w:spacing w:line="240" w:lineRule="auto"/>
        <w:ind w:firstLine="420" w:firstLineChars="200"/>
        <w:rPr>
          <w:rFonts w:ascii="宋体"/>
          <w:color w:val="000000" w:themeColor="text1"/>
          <w:kern w:val="0"/>
          <w:szCs w:val="20"/>
          <w14:textFill>
            <w14:solidFill>
              <w14:schemeClr w14:val="tx1"/>
            </w14:solidFill>
          </w14:textFill>
          <w14:ligatures w14:val="standardContextual"/>
        </w:rPr>
      </w:pPr>
      <w:r>
        <w:rPr>
          <w:rFonts w:ascii="宋体"/>
          <w:color w:val="000000" w:themeColor="text1"/>
          <w:kern w:val="0"/>
          <w:szCs w:val="20"/>
          <w14:textFill>
            <w14:solidFill>
              <w14:schemeClr w14:val="tx1"/>
            </w14:solidFill>
          </w14:textFill>
          <w14:ligatures w14:val="standardContextual"/>
        </w:rPr>
        <w:t>开展数据</w:t>
      </w:r>
      <w:r>
        <w:rPr>
          <w:rFonts w:hint="eastAsia" w:ascii="宋体"/>
          <w:color w:val="000000" w:themeColor="text1"/>
          <w:kern w:val="0"/>
          <w:szCs w:val="20"/>
          <w14:textFill>
            <w14:solidFill>
              <w14:schemeClr w14:val="tx1"/>
            </w14:solidFill>
          </w14:textFill>
          <w14:ligatures w14:val="standardContextual"/>
        </w:rPr>
        <w:t>销毁</w:t>
      </w:r>
      <w:r>
        <w:rPr>
          <w:rFonts w:ascii="宋体"/>
          <w:color w:val="000000" w:themeColor="text1"/>
          <w:kern w:val="0"/>
          <w:szCs w:val="20"/>
          <w14:textFill>
            <w14:solidFill>
              <w14:schemeClr w14:val="tx1"/>
            </w14:solidFill>
          </w14:textFill>
          <w14:ligatures w14:val="standardContextual"/>
        </w:rPr>
        <w:t>活动时，安全要求</w:t>
      </w:r>
      <w:r>
        <w:rPr>
          <w:rFonts w:hint="eastAsia" w:ascii="宋体"/>
          <w:color w:val="000000" w:themeColor="text1"/>
          <w:kern w:val="0"/>
          <w:szCs w:val="20"/>
          <w14:textFill>
            <w14:solidFill>
              <w14:schemeClr w14:val="tx1"/>
            </w14:solidFill>
          </w14:textFill>
          <w14:ligatures w14:val="standardContextual"/>
        </w:rPr>
        <w:t>应</w:t>
      </w:r>
      <w:r>
        <w:rPr>
          <w:rFonts w:ascii="宋体"/>
          <w:color w:val="000000" w:themeColor="text1"/>
          <w:kern w:val="0"/>
          <w:szCs w:val="20"/>
          <w14:textFill>
            <w14:solidFill>
              <w14:schemeClr w14:val="tx1"/>
            </w14:solidFill>
          </w14:textFill>
          <w14:ligatures w14:val="standardContextual"/>
        </w:rPr>
        <w:t>包括但不限于</w:t>
      </w:r>
      <w:r>
        <w:rPr>
          <w:rFonts w:hint="eastAsia" w:ascii="宋体"/>
          <w:color w:val="000000" w:themeColor="text1"/>
          <w:kern w:val="0"/>
          <w:szCs w:val="20"/>
          <w14:textFill>
            <w14:solidFill>
              <w14:schemeClr w14:val="tx1"/>
            </w14:solidFill>
          </w14:textFill>
          <w14:ligatures w14:val="standardContextual"/>
        </w:rPr>
        <w:t>下列内容</w:t>
      </w:r>
      <w:r>
        <w:rPr>
          <w:rFonts w:ascii="宋体"/>
          <w:color w:val="000000" w:themeColor="text1"/>
          <w:kern w:val="0"/>
          <w:szCs w:val="20"/>
          <w14:textFill>
            <w14:solidFill>
              <w14:schemeClr w14:val="tx1"/>
            </w14:solidFill>
          </w14:textFill>
          <w14:ligatures w14:val="standardContextual"/>
        </w:rPr>
        <w:t>：</w:t>
      </w:r>
    </w:p>
    <w:p w14:paraId="281E25A5">
      <w:pPr>
        <w:pStyle w:val="26"/>
        <w:numPr>
          <w:ilvl w:val="0"/>
          <w:numId w:val="2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销毁</w:t>
      </w:r>
      <w:r>
        <w:rPr>
          <w:color w:val="000000" w:themeColor="text1"/>
          <w14:textFill>
            <w14:solidFill>
              <w14:schemeClr w14:val="tx1"/>
            </w14:solidFill>
          </w14:textFill>
        </w:rPr>
        <w:t>超出数据留存期限的相关数据，对留存期限有明确规定的，按相关规定执行</w:t>
      </w:r>
      <w:r>
        <w:rPr>
          <w:rFonts w:hint="eastAsia"/>
          <w:color w:val="000000" w:themeColor="text1"/>
          <w14:textFill>
            <w14:solidFill>
              <w14:schemeClr w14:val="tx1"/>
            </w14:solidFill>
          </w14:textFill>
        </w:rPr>
        <w:t>；</w:t>
      </w:r>
    </w:p>
    <w:p w14:paraId="2796E084">
      <w:pPr>
        <w:pStyle w:val="26"/>
        <w:numPr>
          <w:ilvl w:val="0"/>
          <w:numId w:val="21"/>
        </w:numPr>
        <w:ind w:firstLineChars="0"/>
        <w:rPr>
          <w:color w:val="000000" w:themeColor="text1"/>
          <w14:textFill>
            <w14:solidFill>
              <w14:schemeClr w14:val="tx1"/>
            </w14:solidFill>
          </w14:textFill>
        </w:rPr>
      </w:pPr>
      <w:r>
        <w:rPr>
          <w:color w:val="000000" w:themeColor="text1"/>
          <w14:textFill>
            <w14:solidFill>
              <w14:schemeClr w14:val="tx1"/>
            </w14:solidFill>
          </w14:textFill>
        </w:rPr>
        <w:t>个人</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组织按照法律规定</w:t>
      </w:r>
      <w:r>
        <w:rPr>
          <w:rFonts w:hint="eastAsia"/>
          <w:color w:val="000000" w:themeColor="text1"/>
          <w14:textFill>
            <w14:solidFill>
              <w14:schemeClr w14:val="tx1"/>
            </w14:solidFill>
          </w14:textFill>
        </w:rPr>
        <w:t>和合</w:t>
      </w:r>
      <w:r>
        <w:rPr>
          <w:color w:val="000000" w:themeColor="text1"/>
          <w14:textFill>
            <w14:solidFill>
              <w14:schemeClr w14:val="tx1"/>
            </w14:solidFill>
          </w14:textFill>
        </w:rPr>
        <w:t>同约定等请求</w:t>
      </w:r>
      <w:r>
        <w:rPr>
          <w:rFonts w:hint="eastAsia"/>
          <w:color w:val="000000" w:themeColor="text1"/>
          <w14:textFill>
            <w14:solidFill>
              <w14:schemeClr w14:val="tx1"/>
            </w14:solidFill>
          </w14:textFill>
        </w:rPr>
        <w:t>销毁</w:t>
      </w:r>
      <w:r>
        <w:rPr>
          <w:color w:val="000000" w:themeColor="text1"/>
          <w14:textFill>
            <w14:solidFill>
              <w14:schemeClr w14:val="tx1"/>
            </w14:solidFill>
          </w14:textFill>
        </w:rPr>
        <w:t>的，应</w:t>
      </w:r>
      <w:r>
        <w:rPr>
          <w:rFonts w:hint="eastAsia"/>
          <w:color w:val="000000" w:themeColor="text1"/>
          <w14:textFill>
            <w14:solidFill>
              <w14:schemeClr w14:val="tx1"/>
            </w14:solidFill>
          </w14:textFill>
        </w:rPr>
        <w:t>销毁相应数据；</w:t>
      </w:r>
    </w:p>
    <w:p w14:paraId="622FFCEC">
      <w:pPr>
        <w:pStyle w:val="26"/>
        <w:numPr>
          <w:ilvl w:val="0"/>
          <w:numId w:val="21"/>
        </w:numPr>
        <w:ind w:firstLineChars="0"/>
        <w:rPr>
          <w:color w:val="000000" w:themeColor="text1"/>
          <w14:textFill>
            <w14:solidFill>
              <w14:schemeClr w14:val="tx1"/>
            </w14:solidFill>
          </w14:textFill>
        </w:rPr>
      </w:pPr>
      <w:r>
        <w:rPr>
          <w:color w:val="000000" w:themeColor="text1"/>
          <w14:textFill>
            <w14:solidFill>
              <w14:schemeClr w14:val="tx1"/>
            </w14:solidFill>
          </w14:textFill>
        </w:rPr>
        <w:t>依照数据分类分级建立相应的数据</w:t>
      </w:r>
      <w:r>
        <w:rPr>
          <w:rFonts w:hint="eastAsia"/>
          <w:color w:val="000000" w:themeColor="text1"/>
          <w14:textFill>
            <w14:solidFill>
              <w14:schemeClr w14:val="tx1"/>
            </w14:solidFill>
          </w14:textFill>
        </w:rPr>
        <w:t>销毁</w:t>
      </w:r>
      <w:r>
        <w:rPr>
          <w:color w:val="000000" w:themeColor="text1"/>
          <w14:textFill>
            <w14:solidFill>
              <w14:schemeClr w14:val="tx1"/>
            </w14:solidFill>
          </w14:textFill>
        </w:rPr>
        <w:t>机制，明确需要进行数据销毁的数据、方式和要求，明确销毁数据范围</w:t>
      </w:r>
      <w:r>
        <w:rPr>
          <w:rFonts w:hint="eastAsia"/>
          <w:color w:val="000000" w:themeColor="text1"/>
          <w14:textFill>
            <w14:solidFill>
              <w14:schemeClr w14:val="tx1"/>
            </w14:solidFill>
          </w14:textFill>
        </w:rPr>
        <w:t>、对象、流程、规则和技术等要求，并对销毁活动进行记录和留存；</w:t>
      </w:r>
    </w:p>
    <w:p w14:paraId="6606C2D2">
      <w:pPr>
        <w:pStyle w:val="26"/>
        <w:numPr>
          <w:ilvl w:val="0"/>
          <w:numId w:val="21"/>
        </w:numPr>
        <w:ind w:firstLineChars="0"/>
        <w:rPr>
          <w:color w:val="000000" w:themeColor="text1"/>
          <w14:textFill>
            <w14:solidFill>
              <w14:schemeClr w14:val="tx1"/>
            </w14:solidFill>
          </w14:textFill>
        </w:rPr>
      </w:pPr>
      <w:r>
        <w:rPr>
          <w:color w:val="000000" w:themeColor="text1"/>
          <w14:textFill>
            <w14:solidFill>
              <w14:schemeClr w14:val="tx1"/>
            </w14:solidFill>
          </w14:textFill>
        </w:rPr>
        <w:t>遵守可审计原则，建立数据</w:t>
      </w:r>
      <w:r>
        <w:rPr>
          <w:rFonts w:hint="eastAsia"/>
          <w:color w:val="000000" w:themeColor="text1"/>
          <w14:textFill>
            <w14:solidFill>
              <w14:schemeClr w14:val="tx1"/>
            </w14:solidFill>
          </w14:textFill>
        </w:rPr>
        <w:t>销毁</w:t>
      </w:r>
      <w:r>
        <w:rPr>
          <w:color w:val="000000" w:themeColor="text1"/>
          <w14:textFill>
            <w14:solidFill>
              <w14:schemeClr w14:val="tx1"/>
            </w14:solidFill>
          </w14:textFill>
        </w:rPr>
        <w:t>策略和管理制度，记录数据</w:t>
      </w:r>
      <w:r>
        <w:rPr>
          <w:rFonts w:hint="eastAsia"/>
          <w:color w:val="000000" w:themeColor="text1"/>
          <w14:textFill>
            <w14:solidFill>
              <w14:schemeClr w14:val="tx1"/>
            </w14:solidFill>
          </w14:textFill>
        </w:rPr>
        <w:t>销毁</w:t>
      </w:r>
      <w:r>
        <w:rPr>
          <w:color w:val="000000" w:themeColor="text1"/>
          <w14:textFill>
            <w14:solidFill>
              <w14:schemeClr w14:val="tx1"/>
            </w14:solidFill>
          </w14:textFill>
        </w:rPr>
        <w:t>的操作时间、操作人</w:t>
      </w:r>
      <w:r>
        <w:rPr>
          <w:rFonts w:hint="eastAsia"/>
          <w:color w:val="000000" w:themeColor="text1"/>
          <w14:textFill>
            <w14:solidFill>
              <w14:schemeClr w14:val="tx1"/>
            </w14:solidFill>
          </w14:textFill>
        </w:rPr>
        <w:t>员</w:t>
      </w:r>
      <w:r>
        <w:rPr>
          <w:color w:val="000000" w:themeColor="text1"/>
          <w14:textFill>
            <w14:solidFill>
              <w14:schemeClr w14:val="tx1"/>
            </w14:solidFill>
          </w14:textFill>
        </w:rPr>
        <w:t>、操作方式</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数据内容等相关信息；</w:t>
      </w:r>
    </w:p>
    <w:p w14:paraId="2C6CF15E">
      <w:pPr>
        <w:pStyle w:val="26"/>
        <w:numPr>
          <w:ilvl w:val="0"/>
          <w:numId w:val="2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隐私和机密数据销毁后，</w:t>
      </w:r>
      <w:r>
        <w:rPr>
          <w:color w:val="000000" w:themeColor="text1"/>
          <w14:textFill>
            <w14:solidFill>
              <w14:schemeClr w14:val="tx1"/>
            </w14:solidFill>
          </w14:textFill>
        </w:rPr>
        <w:t>不得以任何理由、任何方式对</w:t>
      </w:r>
      <w:r>
        <w:rPr>
          <w:rFonts w:hint="eastAsia"/>
          <w:color w:val="000000" w:themeColor="text1"/>
          <w14:textFill>
            <w14:solidFill>
              <w14:schemeClr w14:val="tx1"/>
            </w14:solidFill>
          </w14:textFill>
        </w:rPr>
        <w:t>已销毁</w:t>
      </w:r>
      <w:r>
        <w:rPr>
          <w:color w:val="000000" w:themeColor="text1"/>
          <w14:textFill>
            <w14:solidFill>
              <w14:schemeClr w14:val="tx1"/>
            </w14:solidFill>
          </w14:textFill>
        </w:rPr>
        <w:t>数据进行恢复，引起备案内容发生变化的，应当履行备案变更手续。</w:t>
      </w:r>
    </w:p>
    <w:p w14:paraId="6A747F62">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168" w:name="_Toc207032551"/>
      <w:bookmarkStart w:id="169" w:name="_Toc1059041861"/>
      <w:bookmarkStart w:id="170" w:name="_Toc177137464"/>
      <w:r>
        <w:rPr>
          <w:rFonts w:ascii="黑体" w:hAnsi="黑体" w:eastAsia="黑体"/>
          <w:color w:val="000000" w:themeColor="text1"/>
          <w:szCs w:val="21"/>
          <w14:textFill>
            <w14:solidFill>
              <w14:schemeClr w14:val="tx1"/>
            </w14:solidFill>
          </w14:textFill>
        </w:rPr>
        <w:t>6.</w:t>
      </w:r>
      <w:r>
        <w:rPr>
          <w:rFonts w:hint="eastAsia" w:ascii="黑体" w:hAnsi="黑体" w:eastAsia="黑体"/>
          <w:color w:val="000000" w:themeColor="text1"/>
          <w:szCs w:val="21"/>
          <w14:textFill>
            <w14:solidFill>
              <w14:schemeClr w14:val="tx1"/>
            </w14:solidFill>
          </w14:textFill>
        </w:rPr>
        <w:t>5.</w:t>
      </w:r>
      <w:r>
        <w:rPr>
          <w:rFonts w:ascii="黑体" w:hAnsi="黑体" w:eastAsia="黑体"/>
          <w:color w:val="000000" w:themeColor="text1"/>
          <w:szCs w:val="21"/>
          <w14:textFill>
            <w14:solidFill>
              <w14:schemeClr w14:val="tx1"/>
            </w14:solidFill>
          </w14:textFill>
        </w:rPr>
        <w:t xml:space="preserve">7 </w:t>
      </w:r>
      <w:r>
        <w:rPr>
          <w:rFonts w:hint="eastAsia" w:ascii="黑体" w:hAnsi="黑体" w:eastAsia="黑体"/>
          <w:color w:val="000000" w:themeColor="text1"/>
          <w:szCs w:val="21"/>
          <w14:textFill>
            <w14:solidFill>
              <w14:schemeClr w14:val="tx1"/>
            </w14:solidFill>
          </w14:textFill>
        </w:rPr>
        <w:t>数据备份</w:t>
      </w:r>
      <w:bookmarkEnd w:id="168"/>
      <w:bookmarkEnd w:id="169"/>
      <w:bookmarkEnd w:id="170"/>
    </w:p>
    <w:p w14:paraId="1247C372">
      <w:pPr>
        <w:widowControl/>
        <w:spacing w:line="240" w:lineRule="auto"/>
        <w:ind w:firstLine="420" w:firstLineChars="200"/>
        <w:rPr>
          <w:rFonts w:ascii="宋体"/>
          <w:color w:val="000000" w:themeColor="text1"/>
          <w:kern w:val="0"/>
          <w:szCs w:val="20"/>
          <w14:textFill>
            <w14:solidFill>
              <w14:schemeClr w14:val="tx1"/>
            </w14:solidFill>
          </w14:textFill>
          <w14:ligatures w14:val="standardContextual"/>
        </w:rPr>
      </w:pPr>
      <w:r>
        <w:rPr>
          <w:rFonts w:ascii="宋体"/>
          <w:color w:val="000000" w:themeColor="text1"/>
          <w:kern w:val="0"/>
          <w:szCs w:val="20"/>
          <w14:textFill>
            <w14:solidFill>
              <w14:schemeClr w14:val="tx1"/>
            </w14:solidFill>
          </w14:textFill>
          <w14:ligatures w14:val="standardContextual"/>
        </w:rPr>
        <w:t>开展数据</w:t>
      </w:r>
      <w:r>
        <w:rPr>
          <w:rFonts w:hint="eastAsia" w:ascii="宋体"/>
          <w:color w:val="000000" w:themeColor="text1"/>
          <w:kern w:val="0"/>
          <w:szCs w:val="20"/>
          <w14:textFill>
            <w14:solidFill>
              <w14:schemeClr w14:val="tx1"/>
            </w14:solidFill>
          </w14:textFill>
          <w14:ligatures w14:val="standardContextual"/>
        </w:rPr>
        <w:t>备份</w:t>
      </w:r>
      <w:r>
        <w:rPr>
          <w:rFonts w:ascii="宋体"/>
          <w:color w:val="000000" w:themeColor="text1"/>
          <w:kern w:val="0"/>
          <w:szCs w:val="20"/>
          <w14:textFill>
            <w14:solidFill>
              <w14:schemeClr w14:val="tx1"/>
            </w14:solidFill>
          </w14:textFill>
          <w14:ligatures w14:val="standardContextual"/>
        </w:rPr>
        <w:t>活动时，安全要求</w:t>
      </w:r>
      <w:bookmarkStart w:id="171" w:name="OLE_LINK47"/>
      <w:bookmarkStart w:id="172" w:name="OLE_LINK48"/>
      <w:r>
        <w:rPr>
          <w:rFonts w:hint="eastAsia" w:ascii="宋体"/>
          <w:color w:val="000000" w:themeColor="text1"/>
          <w:kern w:val="0"/>
          <w:szCs w:val="20"/>
          <w14:textFill>
            <w14:solidFill>
              <w14:schemeClr w14:val="tx1"/>
            </w14:solidFill>
          </w14:textFill>
          <w14:ligatures w14:val="standardContextual"/>
        </w:rPr>
        <w:t>应</w:t>
      </w:r>
      <w:r>
        <w:rPr>
          <w:rFonts w:ascii="宋体"/>
          <w:color w:val="000000" w:themeColor="text1"/>
          <w:kern w:val="0"/>
          <w:szCs w:val="20"/>
          <w14:textFill>
            <w14:solidFill>
              <w14:schemeClr w14:val="tx1"/>
            </w14:solidFill>
          </w14:textFill>
          <w14:ligatures w14:val="standardContextual"/>
        </w:rPr>
        <w:t>包括但不限于</w:t>
      </w:r>
      <w:r>
        <w:rPr>
          <w:rFonts w:hint="eastAsia" w:ascii="宋体"/>
          <w:color w:val="000000" w:themeColor="text1"/>
          <w:kern w:val="0"/>
          <w:szCs w:val="20"/>
          <w14:textFill>
            <w14:solidFill>
              <w14:schemeClr w14:val="tx1"/>
            </w14:solidFill>
          </w14:textFill>
          <w14:ligatures w14:val="standardContextual"/>
        </w:rPr>
        <w:t>下列内容</w:t>
      </w:r>
      <w:bookmarkEnd w:id="171"/>
      <w:bookmarkEnd w:id="172"/>
      <w:r>
        <w:rPr>
          <w:rFonts w:ascii="宋体"/>
          <w:color w:val="000000" w:themeColor="text1"/>
          <w:kern w:val="0"/>
          <w:szCs w:val="20"/>
          <w14:textFill>
            <w14:solidFill>
              <w14:schemeClr w14:val="tx1"/>
            </w14:solidFill>
          </w14:textFill>
          <w14:ligatures w14:val="standardContextual"/>
        </w:rPr>
        <w:t>：</w:t>
      </w:r>
    </w:p>
    <w:p w14:paraId="6621B504">
      <w:pPr>
        <w:pStyle w:val="26"/>
        <w:numPr>
          <w:ilvl w:val="0"/>
          <w:numId w:val="2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数据加密：为保护敏感数据和确保数据隐私，宜在备份过程中对数据进行加密，防止未经授权的访问和数据泄露；</w:t>
      </w:r>
    </w:p>
    <w:p w14:paraId="362A5B08">
      <w:pPr>
        <w:pStyle w:val="26"/>
        <w:numPr>
          <w:ilvl w:val="0"/>
          <w:numId w:val="2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访问控制：应建立严格的访问控制策略，确保只有经过授权的人员才能访问和管理数据备份，防止内部和外部的恶意行为导致数据泄露或损坏；</w:t>
      </w:r>
    </w:p>
    <w:p w14:paraId="11F3100F">
      <w:pPr>
        <w:pStyle w:val="26"/>
        <w:numPr>
          <w:ilvl w:val="0"/>
          <w:numId w:val="2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多重备份：为确保数据的安全性，宜采用多重备份策略，将数据备份到不同的存储介质或地理位置，可在一定程度上抵抗自然灾害、硬件故障或人为破坏等因素对数据的影响；</w:t>
      </w:r>
    </w:p>
    <w:p w14:paraId="34BBD43C">
      <w:pPr>
        <w:pStyle w:val="26"/>
        <w:numPr>
          <w:ilvl w:val="0"/>
          <w:numId w:val="2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数据完整性检查：确保备份数据的完整性和一致性，可定期对备份数据进行完整性检查，以发现和修复潜在的数据损坏问题；</w:t>
      </w:r>
    </w:p>
    <w:p w14:paraId="24C9D1E6">
      <w:pPr>
        <w:pStyle w:val="26"/>
        <w:numPr>
          <w:ilvl w:val="0"/>
          <w:numId w:val="2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数据恢复测试：定期进行数据恢复测试，确保在实际需要恢复数据时，备份数据能够正确无误地恢复；</w:t>
      </w:r>
    </w:p>
    <w:p w14:paraId="6D861EB2">
      <w:pPr>
        <w:pStyle w:val="26"/>
        <w:numPr>
          <w:ilvl w:val="0"/>
          <w:numId w:val="2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安全监控：实时监控数据备份过程，确保备份任务正常执行，及时发现并解决问题，同时，监控系统应能记录和报告潜在的安全威胁，以便采取相应的安全措施；</w:t>
      </w:r>
    </w:p>
    <w:p w14:paraId="404E2380">
      <w:pPr>
        <w:pStyle w:val="26"/>
        <w:numPr>
          <w:ilvl w:val="0"/>
          <w:numId w:val="2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定期审计与更新：定期审计数据备份策略，并根据业务需求、技术发展和法规政策变化进行更新，以确保数据备份策略的有效性和合规性</w:t>
      </w:r>
      <w:r>
        <w:rPr>
          <w:color w:val="000000" w:themeColor="text1"/>
          <w14:textFill>
            <w14:solidFill>
              <w14:schemeClr w14:val="tx1"/>
            </w14:solidFill>
          </w14:textFill>
        </w:rPr>
        <w:t>。</w:t>
      </w:r>
    </w:p>
    <w:p w14:paraId="10B4B5AD">
      <w:pPr>
        <w:pStyle w:val="26"/>
        <w:numPr>
          <w:ilvl w:val="0"/>
          <w:numId w:val="2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定期备份检查：定期对冷热备数据进行恢复测试、日志检查、加密与访问控制、软件和设备更新、采用多重备份策略、监控存储设备健康状况及遵循合规性要求，以确保备份数据的安全性和可用性，降低数据丢失和业务中断风险。</w:t>
      </w:r>
    </w:p>
    <w:p w14:paraId="7FAA6EF5">
      <w:pPr>
        <w:pStyle w:val="23"/>
        <w:spacing w:before="156" w:after="156"/>
        <w:outlineLvl w:val="1"/>
        <w:rPr>
          <w:color w:val="000000" w:themeColor="text1"/>
          <w14:textFill>
            <w14:solidFill>
              <w14:schemeClr w14:val="tx1"/>
            </w14:solidFill>
          </w14:textFill>
        </w:rPr>
      </w:pPr>
      <w:bookmarkStart w:id="173" w:name="_Toc207032552"/>
      <w:r>
        <w:rPr>
          <w:color w:val="000000" w:themeColor="text1"/>
          <w14:textFill>
            <w14:solidFill>
              <w14:schemeClr w14:val="tx1"/>
            </w14:solidFill>
          </w14:textFill>
        </w:rPr>
        <w:t>6</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 xml:space="preserve"> </w:t>
      </w:r>
      <w:bookmarkStart w:id="174" w:name="OLE_LINK41"/>
      <w:r>
        <w:rPr>
          <w:rFonts w:hint="eastAsia"/>
          <w:color w:val="000000" w:themeColor="text1"/>
          <w14:textFill>
            <w14:solidFill>
              <w14:schemeClr w14:val="tx1"/>
            </w14:solidFill>
          </w14:textFill>
        </w:rPr>
        <w:t>访问控制</w:t>
      </w:r>
      <w:bookmarkEnd w:id="173"/>
      <w:bookmarkEnd w:id="174"/>
    </w:p>
    <w:p w14:paraId="486FA749">
      <w:pPr>
        <w:ind w:firstLine="420" w:firstLineChars="200"/>
        <w:rPr>
          <w:rFonts w:ascii="宋体"/>
          <w:color w:val="000000" w:themeColor="text1"/>
          <w:szCs w:val="20"/>
          <w14:textFill>
            <w14:solidFill>
              <w14:schemeClr w14:val="tx1"/>
            </w14:solidFill>
          </w14:textFill>
          <w14:ligatures w14:val="standardContextual"/>
        </w:rPr>
      </w:pPr>
      <w:bookmarkStart w:id="175" w:name="OLE_LINK49"/>
      <w:bookmarkStart w:id="176" w:name="OLE_LINK43"/>
      <w:bookmarkStart w:id="177" w:name="OLE_LINK44"/>
      <w:bookmarkStart w:id="178" w:name="OLE_LINK42"/>
      <w:r>
        <w:rPr>
          <w:rFonts w:hint="eastAsia" w:ascii="宋体"/>
          <w:color w:val="000000" w:themeColor="text1"/>
          <w:kern w:val="0"/>
          <w:szCs w:val="20"/>
          <w14:textFill>
            <w14:solidFill>
              <w14:schemeClr w14:val="tx1"/>
            </w14:solidFill>
          </w14:textFill>
          <w14:ligatures w14:val="standardContextual"/>
        </w:rPr>
        <w:t>访问控制的安全要求应包括但不限于下列内容：</w:t>
      </w:r>
    </w:p>
    <w:bookmarkEnd w:id="175"/>
    <w:bookmarkEnd w:id="176"/>
    <w:bookmarkEnd w:id="177"/>
    <w:bookmarkEnd w:id="178"/>
    <w:p w14:paraId="7E718624">
      <w:pPr>
        <w:pStyle w:val="26"/>
        <w:numPr>
          <w:ilvl w:val="0"/>
          <w:numId w:val="2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应根据最小权限原则配置访问控制机制，确保软硬件设施在合理的范围和权限下使用；</w:t>
      </w:r>
    </w:p>
    <w:p w14:paraId="6433FF1F">
      <w:pPr>
        <w:pStyle w:val="26"/>
        <w:numPr>
          <w:ilvl w:val="0"/>
          <w:numId w:val="2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硬件设备和应用系统应使用密码技术防止非法访问，包括要求密码具有较强复杂度和长度，密码应定期强制更换，应考虑使用国密算法或强度较高的加密算法等；</w:t>
      </w:r>
    </w:p>
    <w:p w14:paraId="39CF45C4">
      <w:pPr>
        <w:pStyle w:val="26"/>
        <w:numPr>
          <w:ilvl w:val="0"/>
          <w:numId w:val="2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硬件设备和应用系统应具有防暴力破解机制，包括设置连接输入密码错误的最大允许次数、对暴力破解帐户或地址的自动锁定等。</w:t>
      </w:r>
    </w:p>
    <w:p w14:paraId="5FB4538E">
      <w:pPr>
        <w:pStyle w:val="23"/>
        <w:spacing w:before="156" w:after="156"/>
        <w:outlineLvl w:val="1"/>
        <w:rPr>
          <w:color w:val="000000" w:themeColor="text1"/>
          <w14:textFill>
            <w14:solidFill>
              <w14:schemeClr w14:val="tx1"/>
            </w14:solidFill>
          </w14:textFill>
        </w:rPr>
      </w:pPr>
      <w:bookmarkStart w:id="179" w:name="_Toc207032553"/>
      <w:r>
        <w:rPr>
          <w:color w:val="000000" w:themeColor="text1"/>
          <w14:textFill>
            <w14:solidFill>
              <w14:schemeClr w14:val="tx1"/>
            </w14:solidFill>
          </w14:textFill>
        </w:rPr>
        <w:t>6</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 </w:t>
      </w:r>
      <w:bookmarkStart w:id="180" w:name="OLE_LINK50"/>
      <w:bookmarkStart w:id="181" w:name="OLE_LINK45"/>
      <w:bookmarkStart w:id="182" w:name="OLE_LINK46"/>
      <w:r>
        <w:rPr>
          <w:rFonts w:hint="eastAsia"/>
          <w:color w:val="000000" w:themeColor="text1"/>
          <w14:textFill>
            <w14:solidFill>
              <w14:schemeClr w14:val="tx1"/>
            </w14:solidFill>
          </w14:textFill>
        </w:rPr>
        <w:t>云服务安全</w:t>
      </w:r>
      <w:bookmarkEnd w:id="179"/>
      <w:bookmarkEnd w:id="180"/>
      <w:bookmarkEnd w:id="181"/>
      <w:bookmarkEnd w:id="182"/>
    </w:p>
    <w:p w14:paraId="23F6693F">
      <w:pPr>
        <w:spacing w:before="120" w:after="120"/>
        <w:ind w:firstLine="420" w:firstLineChars="200"/>
        <w:rPr>
          <w:rFonts w:ascii="宋体"/>
          <w:color w:val="000000" w:themeColor="text1"/>
          <w:kern w:val="0"/>
          <w:szCs w:val="20"/>
          <w14:textFill>
            <w14:solidFill>
              <w14:schemeClr w14:val="tx1"/>
            </w14:solidFill>
          </w14:textFill>
          <w14:ligatures w14:val="standardContextual"/>
        </w:rPr>
      </w:pPr>
      <w:r>
        <w:rPr>
          <w:rFonts w:hint="eastAsia" w:ascii="宋体"/>
          <w:color w:val="000000" w:themeColor="text1"/>
          <w:kern w:val="0"/>
          <w:szCs w:val="20"/>
          <w14:textFill>
            <w14:solidFill>
              <w14:schemeClr w14:val="tx1"/>
            </w14:solidFill>
          </w14:textFill>
          <w14:ligatures w14:val="standardContextual"/>
        </w:rPr>
        <w:t>云服务安全要求应包括但不限于下列内容：</w:t>
      </w:r>
    </w:p>
    <w:p w14:paraId="3F3056A0">
      <w:pPr>
        <w:pStyle w:val="26"/>
        <w:numPr>
          <w:ilvl w:val="0"/>
          <w:numId w:val="2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对于涉密数据及应用系统，不应使用公有云服务进行存储或运行；</w:t>
      </w:r>
    </w:p>
    <w:p w14:paraId="3C780F91">
      <w:pPr>
        <w:pStyle w:val="26"/>
        <w:numPr>
          <w:ilvl w:val="0"/>
          <w:numId w:val="2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对于需使用云服务的敏感数据及应用系统，宜优先选用私有云实现；</w:t>
      </w:r>
    </w:p>
    <w:p w14:paraId="64FA068A">
      <w:pPr>
        <w:pStyle w:val="26"/>
        <w:numPr>
          <w:ilvl w:val="0"/>
          <w:numId w:val="2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使用云服务时，宜定期将数据导出离线备份，或多云节点的异地备份，保障数据安全性；</w:t>
      </w:r>
    </w:p>
    <w:p w14:paraId="66D9C64E">
      <w:pPr>
        <w:pStyle w:val="26"/>
        <w:numPr>
          <w:ilvl w:val="0"/>
          <w:numId w:val="2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退出公有云服务前，应将数据作彻底删除，防止云端数据残留。</w:t>
      </w:r>
    </w:p>
    <w:p w14:paraId="4B9986EF">
      <w:pPr>
        <w:pStyle w:val="23"/>
        <w:spacing w:before="156" w:after="156"/>
        <w:outlineLvl w:val="1"/>
        <w:rPr>
          <w:color w:val="000000" w:themeColor="text1"/>
          <w14:textFill>
            <w14:solidFill>
              <w14:schemeClr w14:val="tx1"/>
            </w14:solidFill>
          </w14:textFill>
        </w:rPr>
      </w:pPr>
      <w:bookmarkStart w:id="183" w:name="_Toc207032554"/>
      <w:r>
        <w:rPr>
          <w:color w:val="000000" w:themeColor="text1"/>
          <w14:textFill>
            <w14:solidFill>
              <w14:schemeClr w14:val="tx1"/>
            </w14:solidFill>
          </w14:textFill>
        </w:rPr>
        <w:t>6</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 xml:space="preserve"> </w:t>
      </w:r>
      <w:bookmarkStart w:id="184" w:name="OLE_LINK51"/>
      <w:r>
        <w:rPr>
          <w:rFonts w:hint="eastAsia"/>
          <w:color w:val="000000" w:themeColor="text1"/>
          <w14:textFill>
            <w14:solidFill>
              <w14:schemeClr w14:val="tx1"/>
            </w14:solidFill>
          </w14:textFill>
        </w:rPr>
        <w:t>物联网安全</w:t>
      </w:r>
      <w:bookmarkEnd w:id="183"/>
      <w:bookmarkEnd w:id="184"/>
    </w:p>
    <w:p w14:paraId="65CF9DAA">
      <w:pPr>
        <w:pStyle w:val="26"/>
        <w:numPr>
          <w:ilvl w:val="0"/>
          <w:numId w:val="2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14:ligatures w14:val="standardContextual"/>
        </w:rPr>
        <w:t>物联网安全要求应包括但不限于下列内容：</w:t>
      </w:r>
      <w:r>
        <w:rPr>
          <w:rFonts w:hint="eastAsia"/>
          <w:color w:val="000000" w:themeColor="text1"/>
          <w14:textFill>
            <w14:solidFill>
              <w14:schemeClr w14:val="tx1"/>
            </w14:solidFill>
          </w14:textFill>
        </w:rPr>
        <w:t>规划物联网通讯网络时，宜实现数据加密传输；</w:t>
      </w:r>
    </w:p>
    <w:p w14:paraId="68E0746C">
      <w:pPr>
        <w:pStyle w:val="26"/>
        <w:numPr>
          <w:ilvl w:val="0"/>
          <w:numId w:val="2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宜通过配置访问白名单，实现数据定向传输，避免物联网设备的数据泄漏或非法访问；</w:t>
      </w:r>
    </w:p>
    <w:p w14:paraId="05DF4222">
      <w:pPr>
        <w:pStyle w:val="26"/>
        <w:numPr>
          <w:ilvl w:val="0"/>
          <w:numId w:val="2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宜选用具有在线固件升级的物联网设备，便于漏洞补丁的远程下发和更新。</w:t>
      </w:r>
    </w:p>
    <w:p w14:paraId="41CD3311">
      <w:pPr>
        <w:pStyle w:val="22"/>
        <w:numPr>
          <w:ilvl w:val="1"/>
          <w:numId w:val="0"/>
        </w:numPr>
        <w:spacing w:before="312" w:beforeLines="100" w:after="312" w:afterLines="100"/>
        <w:outlineLvl w:val="0"/>
        <w:rPr>
          <w:color w:val="000000" w:themeColor="text1"/>
          <w14:textFill>
            <w14:solidFill>
              <w14:schemeClr w14:val="tx1"/>
            </w14:solidFill>
          </w14:textFill>
        </w:rPr>
      </w:pPr>
      <w:bookmarkStart w:id="185" w:name="_Toc207032555"/>
      <w:r>
        <w:rPr>
          <w:color w:val="000000" w:themeColor="text1"/>
          <w14:textFill>
            <w14:solidFill>
              <w14:schemeClr w14:val="tx1"/>
            </w14:solidFill>
          </w14:textFill>
        </w:rPr>
        <w:t>7</w:t>
      </w:r>
      <w:r>
        <w:rPr>
          <w:rFonts w:hint="eastAsia"/>
          <w:color w:val="000000" w:themeColor="text1"/>
          <w14:textFill>
            <w14:solidFill>
              <w14:schemeClr w14:val="tx1"/>
            </w14:solidFill>
          </w14:textFill>
        </w:rPr>
        <w:t xml:space="preserve">  管理保障体系</w:t>
      </w:r>
      <w:bookmarkEnd w:id="185"/>
    </w:p>
    <w:p w14:paraId="782CFDF2">
      <w:pPr>
        <w:pStyle w:val="23"/>
        <w:spacing w:before="156" w:after="156"/>
        <w:outlineLvl w:val="1"/>
        <w:rPr>
          <w:color w:val="000000" w:themeColor="text1"/>
          <w14:textFill>
            <w14:solidFill>
              <w14:schemeClr w14:val="tx1"/>
            </w14:solidFill>
          </w14:textFill>
        </w:rPr>
      </w:pPr>
      <w:bookmarkStart w:id="186" w:name="_Toc207032556"/>
      <w:r>
        <w:rPr>
          <w:color w:val="000000" w:themeColor="text1"/>
          <w14:textFill>
            <w14:solidFill>
              <w14:schemeClr w14:val="tx1"/>
            </w14:solidFill>
          </w14:textFill>
        </w:rPr>
        <w:t>7</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信息安全组织及制度</w:t>
      </w:r>
      <w:bookmarkEnd w:id="186"/>
    </w:p>
    <w:p w14:paraId="711726E5">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187" w:name="_Toc1286197951"/>
      <w:bookmarkStart w:id="188" w:name="_Toc207032557"/>
      <w:bookmarkStart w:id="189" w:name="_Toc177137467"/>
      <w:r>
        <w:rPr>
          <w:rFonts w:ascii="黑体" w:hAnsi="黑体" w:eastAsia="黑体"/>
          <w:color w:val="000000" w:themeColor="text1"/>
          <w:szCs w:val="21"/>
          <w14:textFill>
            <w14:solidFill>
              <w14:schemeClr w14:val="tx1"/>
            </w14:solidFill>
          </w14:textFill>
        </w:rPr>
        <w:t>7</w:t>
      </w:r>
      <w:r>
        <w:rPr>
          <w:rFonts w:hint="eastAsia" w:ascii="黑体" w:hAnsi="黑体" w:eastAsia="黑体"/>
          <w:color w:val="000000" w:themeColor="text1"/>
          <w:szCs w:val="21"/>
          <w14:textFill>
            <w14:solidFill>
              <w14:schemeClr w14:val="tx1"/>
            </w14:solidFill>
          </w14:textFill>
        </w:rPr>
        <w:t>.1.1信息安全组织</w:t>
      </w:r>
      <w:bookmarkEnd w:id="187"/>
      <w:bookmarkEnd w:id="188"/>
      <w:bookmarkEnd w:id="189"/>
    </w:p>
    <w:p w14:paraId="203C144E">
      <w:pPr>
        <w:pStyle w:val="12"/>
        <w:spacing w:before="0" w:beforeAutospacing="0" w:after="0" w:afterAutospacing="0" w:line="240" w:lineRule="auto"/>
        <w:rPr>
          <w:color w:val="000000" w:themeColor="text1"/>
          <w:sz w:val="21"/>
          <w:szCs w:val="21"/>
          <w14:textFill>
            <w14:solidFill>
              <w14:schemeClr w14:val="tx1"/>
            </w14:solidFill>
          </w14:textFill>
        </w:rPr>
      </w:pPr>
      <w:bookmarkStart w:id="190" w:name="OLE_LINK52"/>
      <w:r>
        <w:rPr>
          <w:color w:val="000000" w:themeColor="text1"/>
          <w:sz w:val="21"/>
          <w:szCs w:val="21"/>
          <w14:textFill>
            <w14:solidFill>
              <w14:schemeClr w14:val="tx1"/>
            </w14:solidFill>
          </w14:textFill>
        </w:rPr>
        <w:t>7</w:t>
      </w:r>
      <w:r>
        <w:rPr>
          <w:rFonts w:hint="eastAsia"/>
          <w:color w:val="000000" w:themeColor="text1"/>
          <w:sz w:val="21"/>
          <w:szCs w:val="21"/>
          <w14:textFill>
            <w14:solidFill>
              <w14:schemeClr w14:val="tx1"/>
            </w14:solidFill>
          </w14:textFill>
        </w:rPr>
        <w:t>.1.1.1</w:t>
      </w:r>
      <w:bookmarkEnd w:id="190"/>
      <w:r>
        <w:rPr>
          <w:rFonts w:hint="eastAsia"/>
          <w:color w:val="000000" w:themeColor="text1"/>
          <w:sz w:val="21"/>
          <w:szCs w:val="21"/>
          <w14:textFill>
            <w14:solidFill>
              <w14:schemeClr w14:val="tx1"/>
            </w14:solidFill>
          </w14:textFill>
        </w:rPr>
        <w:t>信息安全领导小组是水务公司信息安全工作的最高领导决策机构，不隶属于任何部门，直接对本单位最高领导负责，它应是一个常设机构，负责本单位信息安全工作的宏观管理。主要包括下列职责：</w:t>
      </w:r>
    </w:p>
    <w:p w14:paraId="3BE3CA94">
      <w:pPr>
        <w:pStyle w:val="28"/>
        <w:numPr>
          <w:ilvl w:val="0"/>
          <w:numId w:val="26"/>
        </w:numPr>
        <w:spacing w:line="240" w:lineRule="auto"/>
        <w:ind w:firstLineChars="0"/>
        <w:rPr>
          <w:rFonts w:ascii="宋体"/>
          <w:color w:val="000000" w:themeColor="text1"/>
          <w:kern w:val="0"/>
          <w:szCs w:val="20"/>
          <w14:textFill>
            <w14:solidFill>
              <w14:schemeClr w14:val="tx1"/>
            </w14:solidFill>
          </w14:textFill>
        </w:rPr>
      </w:pPr>
      <w:r>
        <w:rPr>
          <w:rFonts w:hint="eastAsia" w:ascii="宋体"/>
          <w:color w:val="000000" w:themeColor="text1"/>
          <w:kern w:val="0"/>
          <w:szCs w:val="20"/>
          <w14:textFill>
            <w14:solidFill>
              <w14:schemeClr w14:val="tx1"/>
            </w14:solidFill>
          </w14:textFill>
        </w:rPr>
        <w:t>负责制定信息系统安全的总体规划并监督规划的实施；</w:t>
      </w:r>
    </w:p>
    <w:p w14:paraId="2CDF6C3B">
      <w:pPr>
        <w:pStyle w:val="28"/>
        <w:numPr>
          <w:ilvl w:val="0"/>
          <w:numId w:val="26"/>
        </w:numPr>
        <w:spacing w:line="240" w:lineRule="auto"/>
        <w:ind w:firstLineChars="0"/>
        <w:rPr>
          <w:rFonts w:ascii="宋体"/>
          <w:color w:val="000000" w:themeColor="text1"/>
          <w:kern w:val="0"/>
          <w:szCs w:val="20"/>
          <w14:textFill>
            <w14:solidFill>
              <w14:schemeClr w14:val="tx1"/>
            </w14:solidFill>
          </w14:textFill>
        </w:rPr>
      </w:pPr>
      <w:r>
        <w:rPr>
          <w:rFonts w:hint="eastAsia" w:ascii="宋体"/>
          <w:color w:val="000000" w:themeColor="text1"/>
          <w:kern w:val="0"/>
          <w:szCs w:val="20"/>
          <w14:textFill>
            <w14:solidFill>
              <w14:schemeClr w14:val="tx1"/>
            </w14:solidFill>
          </w14:textFill>
        </w:rPr>
        <w:t>组织制定本公司信息系统安全策略并审批上报的信息系统安全策略；</w:t>
      </w:r>
    </w:p>
    <w:p w14:paraId="1247CC75">
      <w:pPr>
        <w:pStyle w:val="28"/>
        <w:numPr>
          <w:ilvl w:val="0"/>
          <w:numId w:val="26"/>
        </w:numPr>
        <w:spacing w:line="240" w:lineRule="auto"/>
        <w:ind w:firstLineChars="0"/>
        <w:rPr>
          <w:rFonts w:ascii="宋体"/>
          <w:color w:val="000000" w:themeColor="text1"/>
          <w:kern w:val="0"/>
          <w:szCs w:val="20"/>
          <w14:textFill>
            <w14:solidFill>
              <w14:schemeClr w14:val="tx1"/>
            </w14:solidFill>
          </w14:textFill>
        </w:rPr>
      </w:pPr>
      <w:r>
        <w:rPr>
          <w:rFonts w:hint="eastAsia" w:ascii="宋体"/>
          <w:color w:val="000000" w:themeColor="text1"/>
          <w:kern w:val="0"/>
          <w:szCs w:val="20"/>
          <w14:textFill>
            <w14:solidFill>
              <w14:schemeClr w14:val="tx1"/>
            </w14:solidFill>
          </w14:textFill>
        </w:rPr>
        <w:t>负责组织细化上级规章制度，制定相应程序指南，并监督落实规章制度；</w:t>
      </w:r>
    </w:p>
    <w:p w14:paraId="677B60BF">
      <w:pPr>
        <w:pStyle w:val="28"/>
        <w:numPr>
          <w:ilvl w:val="0"/>
          <w:numId w:val="26"/>
        </w:numPr>
        <w:spacing w:line="240" w:lineRule="auto"/>
        <w:ind w:firstLineChars="0"/>
        <w:rPr>
          <w:rFonts w:ascii="宋体"/>
          <w:color w:val="000000" w:themeColor="text1"/>
          <w:kern w:val="0"/>
          <w:szCs w:val="20"/>
          <w14:textFill>
            <w14:solidFill>
              <w14:schemeClr w14:val="tx1"/>
            </w14:solidFill>
          </w14:textFill>
        </w:rPr>
      </w:pPr>
      <w:r>
        <w:rPr>
          <w:rFonts w:hint="eastAsia" w:ascii="宋体"/>
          <w:color w:val="000000" w:themeColor="text1"/>
          <w:kern w:val="0"/>
          <w:szCs w:val="20"/>
          <w14:textFill>
            <w14:solidFill>
              <w14:schemeClr w14:val="tx1"/>
            </w14:solidFill>
          </w14:textFill>
        </w:rPr>
        <w:t>负责本公司信息系统安全管理层以上的人员权限授予工作；</w:t>
      </w:r>
    </w:p>
    <w:p w14:paraId="033B5ABA">
      <w:pPr>
        <w:pStyle w:val="28"/>
        <w:numPr>
          <w:ilvl w:val="0"/>
          <w:numId w:val="26"/>
        </w:numPr>
        <w:spacing w:line="240" w:lineRule="auto"/>
        <w:ind w:firstLineChars="0"/>
        <w:rPr>
          <w:rFonts w:ascii="宋体"/>
          <w:color w:val="000000" w:themeColor="text1"/>
          <w:kern w:val="0"/>
          <w:szCs w:val="20"/>
          <w14:textFill>
            <w14:solidFill>
              <w14:schemeClr w14:val="tx1"/>
            </w14:solidFill>
          </w14:textFill>
        </w:rPr>
      </w:pPr>
      <w:r>
        <w:rPr>
          <w:rFonts w:hint="eastAsia" w:ascii="宋体"/>
          <w:color w:val="000000" w:themeColor="text1"/>
          <w:kern w:val="0"/>
          <w:szCs w:val="20"/>
          <w14:textFill>
            <w14:solidFill>
              <w14:schemeClr w14:val="tx1"/>
            </w14:solidFill>
          </w14:textFill>
        </w:rPr>
        <w:t>负责审阅信息安全工作报告；</w:t>
      </w:r>
    </w:p>
    <w:p w14:paraId="17145529">
      <w:pPr>
        <w:pStyle w:val="28"/>
        <w:numPr>
          <w:ilvl w:val="0"/>
          <w:numId w:val="26"/>
        </w:numPr>
        <w:spacing w:line="240" w:lineRule="auto"/>
        <w:ind w:firstLineChars="0"/>
        <w:rPr>
          <w:rFonts w:ascii="宋体"/>
          <w:color w:val="000000" w:themeColor="text1"/>
          <w:kern w:val="0"/>
          <w:szCs w:val="20"/>
          <w14:textFill>
            <w14:solidFill>
              <w14:schemeClr w14:val="tx1"/>
            </w14:solidFill>
          </w14:textFill>
        </w:rPr>
      </w:pPr>
      <w:r>
        <w:rPr>
          <w:rFonts w:hint="eastAsia" w:ascii="宋体"/>
          <w:color w:val="000000" w:themeColor="text1"/>
          <w:kern w:val="0"/>
          <w:szCs w:val="20"/>
          <w14:textFill>
            <w14:solidFill>
              <w14:schemeClr w14:val="tx1"/>
            </w14:solidFill>
          </w14:textFill>
        </w:rPr>
        <w:t>负责本公司重大安全事故查处与汇报工作。</w:t>
      </w:r>
    </w:p>
    <w:p w14:paraId="0213B33C">
      <w:pPr>
        <w:pStyle w:val="12"/>
        <w:spacing w:before="0" w:beforeAutospacing="0" w:after="0" w:afterAutospacing="0"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w:t>
      </w:r>
      <w:r>
        <w:rPr>
          <w:rFonts w:hint="eastAsia"/>
          <w:color w:val="000000" w:themeColor="text1"/>
          <w:sz w:val="21"/>
          <w:szCs w:val="21"/>
          <w14:textFill>
            <w14:solidFill>
              <w14:schemeClr w14:val="tx1"/>
            </w14:solidFill>
          </w14:textFill>
        </w:rPr>
        <w:t>.1.1.2信息安全领导小组应科学设计组织架构，合理调配专业技术人员，明确岗位职责，采用“多方协作、集中管理、逐级负责”的模式，确保信息安全管理到位。</w:t>
      </w:r>
    </w:p>
    <w:p w14:paraId="48CFA4CB">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191" w:name="_Toc177137468"/>
      <w:bookmarkStart w:id="192" w:name="_Toc207032558"/>
      <w:bookmarkStart w:id="193" w:name="_Toc558571755"/>
      <w:r>
        <w:rPr>
          <w:rFonts w:ascii="黑体" w:hAnsi="黑体" w:eastAsia="黑体"/>
          <w:color w:val="000000" w:themeColor="text1"/>
          <w:szCs w:val="21"/>
          <w14:textFill>
            <w14:solidFill>
              <w14:schemeClr w14:val="tx1"/>
            </w14:solidFill>
          </w14:textFill>
        </w:rPr>
        <w:t>7</w:t>
      </w:r>
      <w:r>
        <w:rPr>
          <w:rFonts w:hint="eastAsia" w:ascii="黑体" w:hAnsi="黑体" w:eastAsia="黑体"/>
          <w:color w:val="000000" w:themeColor="text1"/>
          <w:szCs w:val="21"/>
          <w14:textFill>
            <w14:solidFill>
              <w14:schemeClr w14:val="tx1"/>
            </w14:solidFill>
          </w14:textFill>
        </w:rPr>
        <w:t>.1.2信息安全制度</w:t>
      </w:r>
      <w:bookmarkEnd w:id="191"/>
      <w:bookmarkEnd w:id="192"/>
      <w:bookmarkEnd w:id="193"/>
    </w:p>
    <w:p w14:paraId="60F1C8BA">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bookmarkStart w:id="194" w:name="_Toc10712840"/>
      <w:r>
        <w:rPr>
          <w:rFonts w:hint="eastAsia"/>
          <w:color w:val="000000" w:themeColor="text1"/>
          <w:sz w:val="21"/>
          <w:szCs w:val="21"/>
          <w14:textFill>
            <w14:solidFill>
              <w14:schemeClr w14:val="tx1"/>
            </w14:solidFill>
          </w14:textFill>
        </w:rPr>
        <w:t>信息系统安全的管理应配套制度和相关作业流程标准，可根据各单位的具体情况，选择建立如下制度：</w:t>
      </w:r>
    </w:p>
    <w:p w14:paraId="36AE7544">
      <w:pPr>
        <w:pStyle w:val="12"/>
        <w:numPr>
          <w:ilvl w:val="1"/>
          <w:numId w:val="27"/>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管理制度制定、评审、发布制度</w:t>
      </w:r>
      <w:bookmarkEnd w:id="194"/>
      <w:r>
        <w:rPr>
          <w:rFonts w:hint="eastAsia"/>
          <w:color w:val="000000" w:themeColor="text1"/>
          <w:sz w:val="21"/>
          <w:szCs w:val="21"/>
          <w14:textFill>
            <w14:solidFill>
              <w14:schemeClr w14:val="tx1"/>
            </w14:solidFill>
          </w14:textFill>
        </w:rPr>
        <w:t>；</w:t>
      </w:r>
    </w:p>
    <w:p w14:paraId="5DD5888B">
      <w:pPr>
        <w:pStyle w:val="12"/>
        <w:numPr>
          <w:ilvl w:val="1"/>
          <w:numId w:val="27"/>
        </w:numPr>
        <w:spacing w:before="0" w:beforeAutospacing="0" w:after="0" w:afterAutospacing="0" w:line="240" w:lineRule="auto"/>
        <w:rPr>
          <w:color w:val="000000" w:themeColor="text1"/>
          <w:sz w:val="21"/>
          <w:szCs w:val="21"/>
          <w14:textFill>
            <w14:solidFill>
              <w14:schemeClr w14:val="tx1"/>
            </w14:solidFill>
          </w14:textFill>
        </w:rPr>
      </w:pPr>
      <w:bookmarkStart w:id="195" w:name="_Toc10712841"/>
      <w:r>
        <w:rPr>
          <w:rFonts w:hint="eastAsia"/>
          <w:color w:val="000000" w:themeColor="text1"/>
          <w:sz w:val="21"/>
          <w:szCs w:val="21"/>
          <w14:textFill>
            <w14:solidFill>
              <w14:schemeClr w14:val="tx1"/>
            </w14:solidFill>
          </w14:textFill>
        </w:rPr>
        <w:t>系统安全建设、整改、等级测评管理制度</w:t>
      </w:r>
      <w:bookmarkEnd w:id="195"/>
      <w:r>
        <w:rPr>
          <w:rFonts w:hint="eastAsia"/>
          <w:color w:val="000000" w:themeColor="text1"/>
          <w:sz w:val="21"/>
          <w:szCs w:val="21"/>
          <w14:textFill>
            <w14:solidFill>
              <w14:schemeClr w14:val="tx1"/>
            </w14:solidFill>
          </w14:textFill>
        </w:rPr>
        <w:t>；</w:t>
      </w:r>
    </w:p>
    <w:p w14:paraId="63E42A57">
      <w:pPr>
        <w:pStyle w:val="12"/>
        <w:numPr>
          <w:ilvl w:val="1"/>
          <w:numId w:val="27"/>
        </w:numPr>
        <w:spacing w:before="0" w:beforeAutospacing="0" w:after="0" w:afterAutospacing="0" w:line="240" w:lineRule="auto"/>
        <w:rPr>
          <w:color w:val="000000" w:themeColor="text1"/>
          <w:sz w:val="21"/>
          <w:szCs w:val="21"/>
          <w14:textFill>
            <w14:solidFill>
              <w14:schemeClr w14:val="tx1"/>
            </w14:solidFill>
          </w14:textFill>
        </w:rPr>
      </w:pPr>
      <w:bookmarkStart w:id="196" w:name="_Toc10712842"/>
      <w:r>
        <w:rPr>
          <w:rFonts w:hint="eastAsia"/>
          <w:color w:val="000000" w:themeColor="text1"/>
          <w:sz w:val="21"/>
          <w:szCs w:val="21"/>
          <w14:textFill>
            <w14:solidFill>
              <w14:schemeClr w14:val="tx1"/>
            </w14:solidFill>
          </w14:textFill>
        </w:rPr>
        <w:t>关键岗位人员安全管理制度</w:t>
      </w:r>
      <w:bookmarkEnd w:id="196"/>
      <w:r>
        <w:rPr>
          <w:rFonts w:hint="eastAsia"/>
          <w:color w:val="000000" w:themeColor="text1"/>
          <w:sz w:val="21"/>
          <w:szCs w:val="21"/>
          <w14:textFill>
            <w14:solidFill>
              <w14:schemeClr w14:val="tx1"/>
            </w14:solidFill>
          </w14:textFill>
        </w:rPr>
        <w:t>；</w:t>
      </w:r>
    </w:p>
    <w:p w14:paraId="43393062">
      <w:pPr>
        <w:pStyle w:val="12"/>
        <w:numPr>
          <w:ilvl w:val="1"/>
          <w:numId w:val="27"/>
        </w:numPr>
        <w:spacing w:before="0" w:beforeAutospacing="0" w:after="0" w:afterAutospacing="0" w:line="240" w:lineRule="auto"/>
        <w:rPr>
          <w:color w:val="000000" w:themeColor="text1"/>
          <w:sz w:val="21"/>
          <w:szCs w:val="21"/>
          <w14:textFill>
            <w14:solidFill>
              <w14:schemeClr w14:val="tx1"/>
            </w14:solidFill>
          </w14:textFill>
        </w:rPr>
      </w:pPr>
      <w:bookmarkStart w:id="197" w:name="_Toc10712845"/>
      <w:r>
        <w:rPr>
          <w:rFonts w:hint="eastAsia"/>
          <w:color w:val="000000" w:themeColor="text1"/>
          <w:sz w:val="21"/>
          <w:szCs w:val="21"/>
          <w14:textFill>
            <w14:solidFill>
              <w14:schemeClr w14:val="tx1"/>
            </w14:solidFill>
          </w14:textFill>
        </w:rPr>
        <w:t>设备安全管理制度</w:t>
      </w:r>
      <w:bookmarkEnd w:id="197"/>
      <w:r>
        <w:rPr>
          <w:rFonts w:hint="eastAsia"/>
          <w:color w:val="000000" w:themeColor="text1"/>
          <w:sz w:val="21"/>
          <w:szCs w:val="21"/>
          <w14:textFill>
            <w14:solidFill>
              <w14:schemeClr w14:val="tx1"/>
            </w14:solidFill>
          </w14:textFill>
        </w:rPr>
        <w:t>；</w:t>
      </w:r>
    </w:p>
    <w:p w14:paraId="04020535">
      <w:pPr>
        <w:pStyle w:val="12"/>
        <w:numPr>
          <w:ilvl w:val="1"/>
          <w:numId w:val="27"/>
        </w:numPr>
        <w:spacing w:before="0" w:beforeAutospacing="0" w:after="0" w:afterAutospacing="0" w:line="240" w:lineRule="auto"/>
        <w:rPr>
          <w:color w:val="000000" w:themeColor="text1"/>
          <w:sz w:val="21"/>
          <w:szCs w:val="21"/>
          <w14:textFill>
            <w14:solidFill>
              <w14:schemeClr w14:val="tx1"/>
            </w14:solidFill>
          </w14:textFill>
        </w:rPr>
      </w:pPr>
      <w:bookmarkStart w:id="198" w:name="_Toc10712846"/>
      <w:r>
        <w:rPr>
          <w:rFonts w:hint="eastAsia"/>
          <w:color w:val="000000" w:themeColor="text1"/>
          <w:sz w:val="21"/>
          <w:szCs w:val="21"/>
          <w14:textFill>
            <w14:solidFill>
              <w14:schemeClr w14:val="tx1"/>
            </w14:solidFill>
          </w14:textFill>
        </w:rPr>
        <w:t>信息安全运维管理制度</w:t>
      </w:r>
      <w:bookmarkEnd w:id="198"/>
      <w:r>
        <w:rPr>
          <w:rFonts w:hint="eastAsia"/>
          <w:color w:val="000000" w:themeColor="text1"/>
          <w:sz w:val="21"/>
          <w:szCs w:val="21"/>
          <w14:textFill>
            <w14:solidFill>
              <w14:schemeClr w14:val="tx1"/>
            </w14:solidFill>
          </w14:textFill>
        </w:rPr>
        <w:t>；</w:t>
      </w:r>
    </w:p>
    <w:p w14:paraId="5C8E816B">
      <w:pPr>
        <w:pStyle w:val="12"/>
        <w:numPr>
          <w:ilvl w:val="1"/>
          <w:numId w:val="27"/>
        </w:numPr>
        <w:spacing w:before="0" w:beforeAutospacing="0" w:after="0" w:afterAutospacing="0" w:line="240" w:lineRule="auto"/>
        <w:rPr>
          <w:color w:val="000000" w:themeColor="text1"/>
          <w:sz w:val="21"/>
          <w:szCs w:val="21"/>
          <w14:textFill>
            <w14:solidFill>
              <w14:schemeClr w14:val="tx1"/>
            </w14:solidFill>
          </w14:textFill>
        </w:rPr>
      </w:pPr>
      <w:bookmarkStart w:id="199" w:name="_Toc10712871"/>
      <w:r>
        <w:rPr>
          <w:rFonts w:hint="eastAsia"/>
          <w:color w:val="000000" w:themeColor="text1"/>
          <w:sz w:val="21"/>
          <w:szCs w:val="21"/>
          <w14:textFill>
            <w14:solidFill>
              <w14:schemeClr w14:val="tx1"/>
            </w14:solidFill>
          </w14:textFill>
        </w:rPr>
        <w:t>信息安全事件应急响应管理制度</w:t>
      </w:r>
      <w:bookmarkEnd w:id="199"/>
      <w:r>
        <w:rPr>
          <w:rFonts w:hint="eastAsia"/>
          <w:color w:val="000000" w:themeColor="text1"/>
          <w:sz w:val="21"/>
          <w:szCs w:val="21"/>
          <w14:textFill>
            <w14:solidFill>
              <w14:schemeClr w14:val="tx1"/>
            </w14:solidFill>
          </w14:textFill>
        </w:rPr>
        <w:t>；</w:t>
      </w:r>
    </w:p>
    <w:p w14:paraId="6207C46E">
      <w:pPr>
        <w:pStyle w:val="12"/>
        <w:numPr>
          <w:ilvl w:val="1"/>
          <w:numId w:val="27"/>
        </w:numPr>
        <w:spacing w:before="0" w:beforeAutospacing="0" w:after="0" w:afterAutospacing="0" w:line="240" w:lineRule="auto"/>
        <w:rPr>
          <w:color w:val="000000" w:themeColor="text1"/>
          <w:sz w:val="21"/>
          <w:szCs w:val="21"/>
          <w14:textFill>
            <w14:solidFill>
              <w14:schemeClr w14:val="tx1"/>
            </w14:solidFill>
          </w14:textFill>
        </w:rPr>
      </w:pPr>
      <w:bookmarkStart w:id="200" w:name="_Toc10712859"/>
      <w:r>
        <w:rPr>
          <w:rFonts w:hint="eastAsia"/>
          <w:color w:val="000000" w:themeColor="text1"/>
          <w:sz w:val="21"/>
          <w:szCs w:val="21"/>
          <w14:textFill>
            <w14:solidFill>
              <w14:schemeClr w14:val="tx1"/>
            </w14:solidFill>
          </w14:textFill>
        </w:rPr>
        <w:t>信息资产管理规定</w:t>
      </w:r>
      <w:bookmarkEnd w:id="200"/>
      <w:r>
        <w:rPr>
          <w:rFonts w:hint="eastAsia"/>
          <w:color w:val="000000" w:themeColor="text1"/>
          <w:sz w:val="21"/>
          <w:szCs w:val="21"/>
          <w14:textFill>
            <w14:solidFill>
              <w14:schemeClr w14:val="tx1"/>
            </w14:solidFill>
          </w14:textFill>
        </w:rPr>
        <w:t>；</w:t>
      </w:r>
    </w:p>
    <w:p w14:paraId="5F0792A4">
      <w:pPr>
        <w:pStyle w:val="12"/>
        <w:numPr>
          <w:ilvl w:val="1"/>
          <w:numId w:val="27"/>
        </w:numPr>
        <w:spacing w:before="0" w:beforeAutospacing="0" w:after="0" w:afterAutospacing="0" w:line="240" w:lineRule="auto"/>
        <w:rPr>
          <w:color w:val="000000" w:themeColor="text1"/>
          <w:sz w:val="21"/>
          <w:szCs w:val="21"/>
          <w14:textFill>
            <w14:solidFill>
              <w14:schemeClr w14:val="tx1"/>
            </w14:solidFill>
          </w14:textFill>
        </w:rPr>
      </w:pPr>
      <w:bookmarkStart w:id="201" w:name="_Toc10712854"/>
      <w:r>
        <w:rPr>
          <w:rFonts w:hint="eastAsia"/>
          <w:color w:val="000000" w:themeColor="text1"/>
          <w:sz w:val="21"/>
          <w:szCs w:val="21"/>
          <w14:textFill>
            <w14:solidFill>
              <w14:schemeClr w14:val="tx1"/>
            </w14:solidFill>
          </w14:textFill>
        </w:rPr>
        <w:t>第三方人员访问制度</w:t>
      </w:r>
      <w:bookmarkEnd w:id="201"/>
      <w:r>
        <w:rPr>
          <w:rFonts w:hint="eastAsia"/>
          <w:color w:val="000000" w:themeColor="text1"/>
          <w:sz w:val="21"/>
          <w:szCs w:val="21"/>
          <w14:textFill>
            <w14:solidFill>
              <w14:schemeClr w14:val="tx1"/>
            </w14:solidFill>
          </w14:textFill>
        </w:rPr>
        <w:t>；</w:t>
      </w:r>
    </w:p>
    <w:p w14:paraId="40917FE2">
      <w:pPr>
        <w:pStyle w:val="12"/>
        <w:numPr>
          <w:ilvl w:val="1"/>
          <w:numId w:val="27"/>
        </w:numPr>
        <w:spacing w:before="0" w:beforeAutospacing="0" w:after="0" w:afterAutospacing="0" w:line="240" w:lineRule="auto"/>
        <w:rPr>
          <w:color w:val="000000" w:themeColor="text1"/>
          <w:sz w:val="21"/>
          <w:szCs w:val="21"/>
          <w14:textFill>
            <w14:solidFill>
              <w14:schemeClr w14:val="tx1"/>
            </w14:solidFill>
          </w14:textFill>
        </w:rPr>
      </w:pPr>
      <w:bookmarkStart w:id="202" w:name="_Toc10712855"/>
      <w:r>
        <w:rPr>
          <w:rFonts w:hint="eastAsia"/>
          <w:color w:val="000000" w:themeColor="text1"/>
          <w:sz w:val="21"/>
          <w:szCs w:val="21"/>
          <w14:textFill>
            <w14:solidFill>
              <w14:schemeClr w14:val="tx1"/>
            </w14:solidFill>
          </w14:textFill>
        </w:rPr>
        <w:t>涉外活动信息安全制度</w:t>
      </w:r>
      <w:bookmarkEnd w:id="202"/>
      <w:r>
        <w:rPr>
          <w:rFonts w:hint="eastAsia"/>
          <w:color w:val="000000" w:themeColor="text1"/>
          <w:sz w:val="21"/>
          <w:szCs w:val="21"/>
          <w14:textFill>
            <w14:solidFill>
              <w14:schemeClr w14:val="tx1"/>
            </w14:solidFill>
          </w14:textFill>
        </w:rPr>
        <w:t>。</w:t>
      </w:r>
    </w:p>
    <w:p w14:paraId="28E3E6EE">
      <w:pPr>
        <w:pStyle w:val="23"/>
        <w:spacing w:before="156" w:after="156"/>
        <w:outlineLvl w:val="1"/>
        <w:rPr>
          <w:color w:val="000000" w:themeColor="text1"/>
          <w14:textFill>
            <w14:solidFill>
              <w14:schemeClr w14:val="tx1"/>
            </w14:solidFill>
          </w14:textFill>
        </w:rPr>
      </w:pPr>
      <w:bookmarkStart w:id="203" w:name="_Toc207032559"/>
      <w:r>
        <w:rPr>
          <w:color w:val="000000" w:themeColor="text1"/>
          <w14:textFill>
            <w14:solidFill>
              <w14:schemeClr w14:val="tx1"/>
            </w14:solidFill>
          </w14:textFill>
        </w:rPr>
        <w:t>7</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信息安全审计与评估</w:t>
      </w:r>
      <w:bookmarkEnd w:id="203"/>
    </w:p>
    <w:p w14:paraId="4A1F0C88">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204" w:name="_Toc177137471"/>
      <w:bookmarkStart w:id="205" w:name="_Toc207032560"/>
      <w:bookmarkStart w:id="206" w:name="_Toc369252424"/>
      <w:r>
        <w:rPr>
          <w:rFonts w:ascii="黑体" w:hAnsi="黑体" w:eastAsia="黑体"/>
          <w:color w:val="000000" w:themeColor="text1"/>
          <w:szCs w:val="21"/>
          <w14:textFill>
            <w14:solidFill>
              <w14:schemeClr w14:val="tx1"/>
            </w14:solidFill>
          </w14:textFill>
        </w:rPr>
        <w:t>7</w:t>
      </w:r>
      <w:r>
        <w:rPr>
          <w:rFonts w:hint="eastAsia" w:ascii="黑体" w:hAnsi="黑体" w:eastAsia="黑体"/>
          <w:color w:val="000000" w:themeColor="text1"/>
          <w:szCs w:val="21"/>
          <w14:textFill>
            <w14:solidFill>
              <w14:schemeClr w14:val="tx1"/>
            </w14:solidFill>
          </w14:textFill>
        </w:rPr>
        <w:t>.2.1安全审计与评估管理</w:t>
      </w:r>
      <w:bookmarkEnd w:id="204"/>
      <w:bookmarkEnd w:id="205"/>
      <w:bookmarkEnd w:id="206"/>
    </w:p>
    <w:p w14:paraId="24308F9B">
      <w:pPr>
        <w:pStyle w:val="23"/>
        <w:spacing w:before="156" w:after="156"/>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.2.1.1 一般要求</w:t>
      </w:r>
    </w:p>
    <w:p w14:paraId="7601EABF">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城乡水务信息系统安全防护评估工作应定期进行。城乡水务信息系统的设计、开发、测试、部署、运行维护和废弃阶段均要进行安全评估，确保系统全生命周期安全性。</w:t>
      </w:r>
    </w:p>
    <w:p w14:paraId="42979F7E">
      <w:pPr>
        <w:pStyle w:val="23"/>
        <w:spacing w:before="156" w:after="156"/>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.2.1.2评估工作角色与职责</w:t>
      </w:r>
    </w:p>
    <w:p w14:paraId="4DCE7339">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城乡水务信息系统</w:t>
      </w:r>
      <w:r>
        <w:rPr>
          <w:color w:val="000000" w:themeColor="text1"/>
          <w:sz w:val="21"/>
          <w:szCs w:val="21"/>
          <w14:textFill>
            <w14:solidFill>
              <w14:schemeClr w14:val="tx1"/>
            </w14:solidFill>
          </w14:textFill>
        </w:rPr>
        <w:t>安全防护评估工作</w:t>
      </w:r>
      <w:r>
        <w:rPr>
          <w:rFonts w:hint="eastAsia"/>
          <w:color w:val="000000" w:themeColor="text1"/>
          <w:sz w:val="21"/>
          <w:szCs w:val="21"/>
          <w14:textFill>
            <w14:solidFill>
              <w14:schemeClr w14:val="tx1"/>
            </w14:solidFill>
          </w14:textFill>
        </w:rPr>
        <w:t>应由</w:t>
      </w:r>
      <w:r>
        <w:rPr>
          <w:color w:val="000000" w:themeColor="text1"/>
          <w:sz w:val="21"/>
          <w:szCs w:val="21"/>
          <w14:textFill>
            <w14:solidFill>
              <w14:schemeClr w14:val="tx1"/>
            </w14:solidFill>
          </w14:textFill>
        </w:rPr>
        <w:t>评估机构</w:t>
      </w:r>
      <w:r>
        <w:rPr>
          <w:rFonts w:hint="eastAsia"/>
          <w:color w:val="000000" w:themeColor="text1"/>
          <w:sz w:val="21"/>
          <w:szCs w:val="21"/>
          <w14:textFill>
            <w14:solidFill>
              <w14:schemeClr w14:val="tx1"/>
            </w14:solidFill>
          </w14:textFill>
        </w:rPr>
        <w:t>实施，评估人员应经培训合格。评审机构的职责包括：</w:t>
      </w:r>
    </w:p>
    <w:p w14:paraId="0427325E">
      <w:pPr>
        <w:pStyle w:val="12"/>
        <w:numPr>
          <w:ilvl w:val="0"/>
          <w:numId w:val="28"/>
        </w:numPr>
        <w:spacing w:before="0" w:beforeAutospacing="0" w:after="0" w:afterAutospacing="0"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编制安全评估实施方案</w:t>
      </w:r>
      <w:r>
        <w:rPr>
          <w:rFonts w:hint="eastAsia"/>
          <w:color w:val="000000" w:themeColor="text1"/>
          <w:sz w:val="21"/>
          <w:szCs w:val="21"/>
          <w14:textFill>
            <w14:solidFill>
              <w14:schemeClr w14:val="tx1"/>
            </w14:solidFill>
          </w14:textFill>
        </w:rPr>
        <w:t>；</w:t>
      </w:r>
    </w:p>
    <w:p w14:paraId="6EC3FFC3">
      <w:pPr>
        <w:pStyle w:val="12"/>
        <w:numPr>
          <w:ilvl w:val="0"/>
          <w:numId w:val="28"/>
        </w:numPr>
        <w:spacing w:before="0" w:beforeAutospacing="0" w:after="0" w:afterAutospacing="0"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自行组织评审评估实施方案实施安全评估</w:t>
      </w:r>
      <w:r>
        <w:rPr>
          <w:rFonts w:hint="eastAsia"/>
          <w:color w:val="000000" w:themeColor="text1"/>
          <w:sz w:val="21"/>
          <w:szCs w:val="21"/>
          <w14:textFill>
            <w14:solidFill>
              <w14:schemeClr w14:val="tx1"/>
            </w14:solidFill>
          </w14:textFill>
        </w:rPr>
        <w:t>；</w:t>
      </w:r>
    </w:p>
    <w:p w14:paraId="7037BDD8">
      <w:pPr>
        <w:pStyle w:val="12"/>
        <w:numPr>
          <w:ilvl w:val="0"/>
          <w:numId w:val="28"/>
        </w:numPr>
        <w:spacing w:before="0" w:beforeAutospacing="0" w:after="0" w:afterAutospacing="0"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出具安全评估报告，提出整改建议</w:t>
      </w:r>
      <w:r>
        <w:rPr>
          <w:rFonts w:hint="eastAsia"/>
          <w:color w:val="000000" w:themeColor="text1"/>
          <w:sz w:val="21"/>
          <w:szCs w:val="21"/>
          <w14:textFill>
            <w14:solidFill>
              <w14:schemeClr w14:val="tx1"/>
            </w14:solidFill>
          </w14:textFill>
        </w:rPr>
        <w:t>；</w:t>
      </w:r>
    </w:p>
    <w:p w14:paraId="257AF7CA">
      <w:pPr>
        <w:pStyle w:val="12"/>
        <w:numPr>
          <w:ilvl w:val="0"/>
          <w:numId w:val="28"/>
        </w:numPr>
        <w:spacing w:before="0" w:beforeAutospacing="0" w:after="0" w:afterAutospacing="0"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自行组织评审评估结果</w:t>
      </w:r>
      <w:r>
        <w:rPr>
          <w:rFonts w:hint="eastAsia"/>
          <w:color w:val="000000" w:themeColor="text1"/>
          <w:sz w:val="21"/>
          <w:szCs w:val="21"/>
          <w14:textFill>
            <w14:solidFill>
              <w14:schemeClr w14:val="tx1"/>
            </w14:solidFill>
          </w14:textFill>
        </w:rPr>
        <w:t>。</w:t>
      </w:r>
    </w:p>
    <w:p w14:paraId="7980BEA5">
      <w:pPr>
        <w:pStyle w:val="23"/>
        <w:spacing w:before="156" w:after="156"/>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.2.1.3</w:t>
      </w:r>
      <w:bookmarkStart w:id="207" w:name="OLE_LINK53"/>
      <w:r>
        <w:rPr>
          <w:rFonts w:hint="eastAsia"/>
          <w:color w:val="000000" w:themeColor="text1"/>
          <w14:textFill>
            <w14:solidFill>
              <w14:schemeClr w14:val="tx1"/>
            </w14:solidFill>
          </w14:textFill>
        </w:rPr>
        <w:t>保密工作</w:t>
      </w:r>
      <w:bookmarkEnd w:id="207"/>
    </w:p>
    <w:p w14:paraId="5B1EBDF8">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城乡水务信息系统的</w:t>
      </w:r>
      <w:r>
        <w:rPr>
          <w:color w:val="000000" w:themeColor="text1"/>
          <w:sz w:val="21"/>
          <w:szCs w:val="21"/>
          <w14:textFill>
            <w14:solidFill>
              <w14:schemeClr w14:val="tx1"/>
            </w14:solidFill>
          </w14:textFill>
        </w:rPr>
        <w:t>评估资料和评估结果</w:t>
      </w:r>
      <w:r>
        <w:rPr>
          <w:rFonts w:hint="eastAsia"/>
          <w:color w:val="000000" w:themeColor="text1"/>
          <w:sz w:val="21"/>
          <w:szCs w:val="21"/>
          <w14:textFill>
            <w14:solidFill>
              <w14:schemeClr w14:val="tx1"/>
            </w14:solidFill>
          </w14:textFill>
        </w:rPr>
        <w:t>的</w:t>
      </w:r>
      <w:r>
        <w:rPr>
          <w:color w:val="000000" w:themeColor="text1"/>
          <w:sz w:val="21"/>
          <w:szCs w:val="21"/>
          <w14:textFill>
            <w14:solidFill>
              <w14:schemeClr w14:val="tx1"/>
            </w14:solidFill>
          </w14:textFill>
        </w:rPr>
        <w:t>管理</w:t>
      </w:r>
      <w:r>
        <w:rPr>
          <w:rFonts w:hint="eastAsia"/>
          <w:color w:val="000000" w:themeColor="text1"/>
          <w:sz w:val="21"/>
          <w:szCs w:val="21"/>
          <w14:textFill>
            <w14:solidFill>
              <w14:schemeClr w14:val="tx1"/>
            </w14:solidFill>
          </w14:textFill>
        </w:rPr>
        <w:t>应按照GB/T 28448的</w:t>
      </w:r>
      <w:r>
        <w:rPr>
          <w:color w:val="000000" w:themeColor="text1"/>
          <w:sz w:val="21"/>
          <w:szCs w:val="21"/>
          <w14:textFill>
            <w14:solidFill>
              <w14:schemeClr w14:val="tx1"/>
            </w14:solidFill>
          </w14:textFill>
        </w:rPr>
        <w:t>要求做好保密工作</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确保评估过程中产生</w:t>
      </w:r>
      <w:r>
        <w:rPr>
          <w:rFonts w:hint="eastAsia"/>
          <w:color w:val="000000" w:themeColor="text1"/>
          <w:sz w:val="21"/>
          <w:szCs w:val="21"/>
          <w14:textFill>
            <w14:solidFill>
              <w14:schemeClr w14:val="tx1"/>
            </w14:solidFill>
          </w14:textFill>
        </w:rPr>
        <w:t>或</w:t>
      </w:r>
      <w:r>
        <w:rPr>
          <w:color w:val="000000" w:themeColor="text1"/>
          <w:sz w:val="21"/>
          <w:szCs w:val="21"/>
          <w14:textFill>
            <w14:solidFill>
              <w14:schemeClr w14:val="tx1"/>
            </w14:solidFill>
          </w14:textFill>
        </w:rPr>
        <w:t>接触的所有数据</w:t>
      </w:r>
      <w:r>
        <w:rPr>
          <w:rFonts w:hint="eastAsia"/>
          <w:color w:val="000000" w:themeColor="text1"/>
          <w:sz w:val="21"/>
          <w:szCs w:val="21"/>
          <w14:textFill>
            <w14:solidFill>
              <w14:schemeClr w14:val="tx1"/>
            </w14:solidFill>
          </w14:textFill>
        </w:rPr>
        <w:t>及评估结果应做到保密，保密工作应符合下列要求</w:t>
      </w:r>
      <w:r>
        <w:rPr>
          <w:color w:val="000000" w:themeColor="text1"/>
          <w:sz w:val="21"/>
          <w:szCs w:val="21"/>
          <w14:textFill>
            <w14:solidFill>
              <w14:schemeClr w14:val="tx1"/>
            </w14:solidFill>
          </w14:textFill>
        </w:rPr>
        <w:t>。</w:t>
      </w:r>
    </w:p>
    <w:p w14:paraId="2B7B7BD7">
      <w:pPr>
        <w:pStyle w:val="12"/>
        <w:numPr>
          <w:ilvl w:val="0"/>
          <w:numId w:val="29"/>
        </w:numPr>
        <w:spacing w:before="0" w:beforeAutospacing="0" w:after="0" w:afterAutospacing="0"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项目实施前，评估机构应与被评估单位签订保密协议，明确双方的保密责任</w:t>
      </w:r>
      <w:r>
        <w:rPr>
          <w:rFonts w:hint="eastAsia"/>
          <w:color w:val="000000" w:themeColor="text1"/>
          <w:sz w:val="21"/>
          <w:szCs w:val="21"/>
          <w14:textFill>
            <w14:solidFill>
              <w14:schemeClr w14:val="tx1"/>
            </w14:solidFill>
          </w14:textFill>
        </w:rPr>
        <w:t>。</w:t>
      </w:r>
    </w:p>
    <w:p w14:paraId="393E4A9C">
      <w:pPr>
        <w:pStyle w:val="12"/>
        <w:numPr>
          <w:ilvl w:val="0"/>
          <w:numId w:val="29"/>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评估过程中</w:t>
      </w:r>
      <w:r>
        <w:rPr>
          <w:color w:val="000000" w:themeColor="text1"/>
          <w:sz w:val="21"/>
          <w:szCs w:val="21"/>
          <w14:textFill>
            <w14:solidFill>
              <w14:schemeClr w14:val="tx1"/>
            </w14:solidFill>
          </w14:textFill>
        </w:rPr>
        <w:t>必须接触</w:t>
      </w:r>
      <w:r>
        <w:rPr>
          <w:rFonts w:hint="eastAsia"/>
          <w:color w:val="000000" w:themeColor="text1"/>
          <w:sz w:val="21"/>
          <w:szCs w:val="21"/>
          <w14:textFill>
            <w14:solidFill>
              <w14:schemeClr w14:val="tx1"/>
            </w14:solidFill>
          </w14:textFill>
        </w:rPr>
        <w:t>或</w:t>
      </w:r>
      <w:r>
        <w:rPr>
          <w:color w:val="000000" w:themeColor="text1"/>
          <w:sz w:val="21"/>
          <w:szCs w:val="21"/>
          <w14:textFill>
            <w14:solidFill>
              <w14:schemeClr w14:val="tx1"/>
            </w14:solidFill>
          </w14:textFill>
        </w:rPr>
        <w:t>使用被评估单位敏感信息时，评估机构应遵循最小接触原则。仅授权</w:t>
      </w:r>
      <w:r>
        <w:rPr>
          <w:rFonts w:hint="eastAsia"/>
          <w:color w:val="000000" w:themeColor="text1"/>
          <w:sz w:val="21"/>
          <w:szCs w:val="21"/>
          <w14:textFill>
            <w14:solidFill>
              <w14:schemeClr w14:val="tx1"/>
            </w14:solidFill>
          </w14:textFill>
        </w:rPr>
        <w:t>且必要</w:t>
      </w:r>
      <w:r>
        <w:rPr>
          <w:color w:val="000000" w:themeColor="text1"/>
          <w:sz w:val="21"/>
          <w:szCs w:val="21"/>
          <w14:textFill>
            <w14:solidFill>
              <w14:schemeClr w14:val="tx1"/>
            </w14:solidFill>
          </w14:textFill>
        </w:rPr>
        <w:t>的人员可接触到</w:t>
      </w:r>
      <w:r>
        <w:rPr>
          <w:rFonts w:hint="eastAsia"/>
          <w:color w:val="000000" w:themeColor="text1"/>
          <w:sz w:val="21"/>
          <w:szCs w:val="21"/>
          <w14:textFill>
            <w14:solidFill>
              <w14:schemeClr w14:val="tx1"/>
            </w14:solidFill>
          </w14:textFill>
        </w:rPr>
        <w:t>敏感</w:t>
      </w:r>
      <w:r>
        <w:rPr>
          <w:color w:val="000000" w:themeColor="text1"/>
          <w:sz w:val="21"/>
          <w:szCs w:val="21"/>
          <w14:textFill>
            <w14:solidFill>
              <w14:schemeClr w14:val="tx1"/>
            </w14:solidFill>
          </w14:textFill>
        </w:rPr>
        <w:t>信息。</w:t>
      </w:r>
    </w:p>
    <w:p w14:paraId="7C9D9D30">
      <w:pPr>
        <w:pStyle w:val="12"/>
        <w:numPr>
          <w:ilvl w:val="0"/>
          <w:numId w:val="29"/>
        </w:numPr>
        <w:spacing w:before="0" w:beforeAutospacing="0" w:after="0" w:afterAutospacing="0"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应确保参与评估项目的人员均与评估机构签署保密协议。项目人员对工作过程中接触、产生的数据以及评估结果应当严格保密，未经授权不得泄露给任何第三方。项目人员不得利用项目过程中接触、产生的数据进行任何侵害被评估单位网络信息系统的行为</w:t>
      </w:r>
      <w:r>
        <w:rPr>
          <w:rFonts w:hint="eastAsia"/>
          <w:color w:val="000000" w:themeColor="text1"/>
          <w:sz w:val="21"/>
          <w:szCs w:val="21"/>
          <w14:textFill>
            <w14:solidFill>
              <w14:schemeClr w14:val="tx1"/>
            </w14:solidFill>
          </w14:textFill>
        </w:rPr>
        <w:t>。</w:t>
      </w:r>
    </w:p>
    <w:p w14:paraId="49F7257A">
      <w:pPr>
        <w:pStyle w:val="12"/>
        <w:numPr>
          <w:ilvl w:val="0"/>
          <w:numId w:val="29"/>
        </w:numPr>
        <w:spacing w:before="0" w:beforeAutospacing="0" w:after="0" w:afterAutospacing="0"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评估机构</w:t>
      </w:r>
      <w:r>
        <w:rPr>
          <w:rFonts w:hint="eastAsia"/>
          <w:color w:val="000000" w:themeColor="text1"/>
          <w:sz w:val="21"/>
          <w:szCs w:val="21"/>
          <w14:textFill>
            <w14:solidFill>
              <w14:schemeClr w14:val="tx1"/>
            </w14:solidFill>
          </w14:textFill>
        </w:rPr>
        <w:t>不应</w:t>
      </w:r>
      <w:r>
        <w:rPr>
          <w:color w:val="000000" w:themeColor="text1"/>
          <w:sz w:val="21"/>
          <w:szCs w:val="21"/>
          <w14:textFill>
            <w14:solidFill>
              <w14:schemeClr w14:val="tx1"/>
            </w14:solidFill>
          </w14:textFill>
        </w:rPr>
        <w:t>将被评估单位的任何设备带出允许的办公场地，</w:t>
      </w:r>
      <w:r>
        <w:rPr>
          <w:rFonts w:hint="eastAsia"/>
          <w:color w:val="000000" w:themeColor="text1"/>
          <w:sz w:val="21"/>
          <w:szCs w:val="21"/>
          <w14:textFill>
            <w14:solidFill>
              <w14:schemeClr w14:val="tx1"/>
            </w14:solidFill>
          </w14:textFill>
        </w:rPr>
        <w:t>评审结束后应</w:t>
      </w:r>
      <w:r>
        <w:rPr>
          <w:color w:val="000000" w:themeColor="text1"/>
          <w:sz w:val="21"/>
          <w:szCs w:val="21"/>
          <w14:textFill>
            <w14:solidFill>
              <w14:schemeClr w14:val="tx1"/>
            </w14:solidFill>
          </w14:textFill>
        </w:rPr>
        <w:t>立即归还</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评估机构应</w:t>
      </w:r>
      <w:r>
        <w:rPr>
          <w:rFonts w:hint="eastAsia"/>
          <w:color w:val="000000" w:themeColor="text1"/>
          <w:sz w:val="21"/>
          <w:szCs w:val="21"/>
          <w14:textFill>
            <w14:solidFill>
              <w14:schemeClr w14:val="tx1"/>
            </w14:solidFill>
          </w14:textFill>
        </w:rPr>
        <w:t>及时归还被评估单位的</w:t>
      </w:r>
      <w:r>
        <w:rPr>
          <w:color w:val="000000" w:themeColor="text1"/>
          <w:sz w:val="21"/>
          <w:szCs w:val="21"/>
          <w14:textFill>
            <w14:solidFill>
              <w14:schemeClr w14:val="tx1"/>
            </w14:solidFill>
          </w14:textFill>
        </w:rPr>
        <w:t>有关数据与文件资料</w:t>
      </w:r>
      <w:r>
        <w:rPr>
          <w:rFonts w:hint="eastAsia"/>
          <w:color w:val="000000" w:themeColor="text1"/>
          <w:sz w:val="21"/>
          <w:szCs w:val="21"/>
          <w14:textFill>
            <w14:solidFill>
              <w14:schemeClr w14:val="tx1"/>
            </w14:solidFill>
          </w14:textFill>
        </w:rPr>
        <w:t>，或者设定保密期限，在保密期结束后彻底销毁。评估机构应</w:t>
      </w:r>
      <w:r>
        <w:rPr>
          <w:color w:val="000000" w:themeColor="text1"/>
          <w:sz w:val="21"/>
          <w:szCs w:val="21"/>
          <w14:textFill>
            <w14:solidFill>
              <w14:schemeClr w14:val="tx1"/>
            </w14:solidFill>
          </w14:textFill>
        </w:rPr>
        <w:t>保证不在第三方场合与第三方文档中发布或引用</w:t>
      </w:r>
      <w:r>
        <w:rPr>
          <w:rFonts w:hint="eastAsia"/>
          <w:color w:val="000000" w:themeColor="text1"/>
          <w:sz w:val="21"/>
          <w:szCs w:val="21"/>
          <w14:textFill>
            <w14:solidFill>
              <w14:schemeClr w14:val="tx1"/>
            </w14:solidFill>
          </w14:textFill>
        </w:rPr>
        <w:t>被评估单位的相关数据与文件资料。</w:t>
      </w:r>
    </w:p>
    <w:p w14:paraId="2965A06C">
      <w:pPr>
        <w:pStyle w:val="23"/>
        <w:spacing w:before="156" w:after="156"/>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.2.1.4风险控制</w:t>
      </w:r>
    </w:p>
    <w:p w14:paraId="3AC826AD">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bookmarkStart w:id="208" w:name="OLE_LINK54"/>
      <w:r>
        <w:rPr>
          <w:rFonts w:hint="eastAsia"/>
          <w:color w:val="000000" w:themeColor="text1"/>
          <w:sz w:val="21"/>
          <w:szCs w:val="21"/>
          <w14:textFill>
            <w14:solidFill>
              <w14:schemeClr w14:val="tx1"/>
            </w14:solidFill>
          </w14:textFill>
        </w:rPr>
        <w:t>城乡水务信息系统的安全审计和评估过程会引入安全风险，应加强安全评估实施过程中的风险控制。安全防护评估工作实施前，应确定评估范围，并对可能引入的风险进行分析，制定风险防范措施和风险控制措施。应当根据评估对象的不同采取相应的风险控制手段。评估实施过程的风险控制手段应包括:</w:t>
      </w:r>
    </w:p>
    <w:bookmarkEnd w:id="208"/>
    <w:p w14:paraId="7EAF9749">
      <w:pPr>
        <w:pStyle w:val="12"/>
        <w:numPr>
          <w:ilvl w:val="0"/>
          <w:numId w:val="30"/>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在实施过程中，评估操作应遵守城乡水务信息系统的相关操作章程，以防止敏感信息泄漏，确保及时处理意外事件。</w:t>
      </w:r>
    </w:p>
    <w:p w14:paraId="46099067">
      <w:pPr>
        <w:pStyle w:val="12"/>
        <w:numPr>
          <w:ilvl w:val="0"/>
          <w:numId w:val="30"/>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安全审计和评估过程应尽可能避开水务工控系统和生产调度系统生产作业敏感期。</w:t>
      </w:r>
    </w:p>
    <w:p w14:paraId="77F59296">
      <w:pPr>
        <w:pStyle w:val="12"/>
        <w:numPr>
          <w:ilvl w:val="0"/>
          <w:numId w:val="30"/>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根据评估范围界定的城乡水务信息系统的实际情况,在被评估单位的配合下，在评估实施前制定应急预案，附录C给出了应急预案模板，可作为水务行业信息系统应急预案框架及主要内容的参考。</w:t>
      </w:r>
    </w:p>
    <w:p w14:paraId="23057629">
      <w:pPr>
        <w:pStyle w:val="12"/>
        <w:numPr>
          <w:ilvl w:val="0"/>
          <w:numId w:val="30"/>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对位于生产控制区域内的城乡水务信息系统在无法搭建模拟环境的情况下，不应采用评估工具进行评估，应采用人工评估的方式进行。</w:t>
      </w:r>
    </w:p>
    <w:p w14:paraId="2392CB81">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209" w:name="_Toc1945233985"/>
      <w:bookmarkStart w:id="210" w:name="_Toc207032561"/>
      <w:bookmarkStart w:id="211" w:name="_Toc177137472"/>
      <w:r>
        <w:rPr>
          <w:rFonts w:ascii="黑体" w:hAnsi="黑体" w:eastAsia="黑体"/>
          <w:color w:val="000000" w:themeColor="text1"/>
          <w:szCs w:val="21"/>
          <w14:textFill>
            <w14:solidFill>
              <w14:schemeClr w14:val="tx1"/>
            </w14:solidFill>
          </w14:textFill>
        </w:rPr>
        <w:t>7</w:t>
      </w:r>
      <w:r>
        <w:rPr>
          <w:rFonts w:hint="eastAsia" w:ascii="黑体" w:hAnsi="黑体" w:eastAsia="黑体"/>
          <w:color w:val="000000" w:themeColor="text1"/>
          <w:szCs w:val="21"/>
          <w14:textFill>
            <w14:solidFill>
              <w14:schemeClr w14:val="tx1"/>
            </w14:solidFill>
          </w14:textFill>
        </w:rPr>
        <w:t>.2.2安全审计与评估方法</w:t>
      </w:r>
      <w:bookmarkEnd w:id="209"/>
      <w:bookmarkEnd w:id="210"/>
      <w:bookmarkEnd w:id="211"/>
    </w:p>
    <w:p w14:paraId="5195C7B7">
      <w:pPr>
        <w:pStyle w:val="12"/>
        <w:spacing w:before="0" w:beforeAutospacing="0" w:after="0" w:afterAutospacing="0" w:line="240" w:lineRule="auto"/>
        <w:rPr>
          <w:color w:val="000000" w:themeColor="text1"/>
          <w:sz w:val="21"/>
          <w:szCs w:val="21"/>
          <w14:textFill>
            <w14:solidFill>
              <w14:schemeClr w14:val="tx1"/>
            </w14:solidFill>
          </w14:textFill>
        </w:rPr>
      </w:pPr>
      <w:bookmarkStart w:id="212" w:name="OLE_LINK56"/>
      <w:bookmarkStart w:id="213" w:name="OLE_LINK55"/>
      <w:r>
        <w:rPr>
          <w:rFonts w:ascii="黑体" w:hAnsi="黑体" w:eastAsia="黑体" w:cs="Times New Roman"/>
          <w:color w:val="000000" w:themeColor="text1"/>
          <w:sz w:val="21"/>
          <w:szCs w:val="21"/>
          <w14:textFill>
            <w14:solidFill>
              <w14:schemeClr w14:val="tx1"/>
            </w14:solidFill>
          </w14:textFill>
        </w:rPr>
        <w:t>7.2.2.1</w:t>
      </w:r>
      <w:bookmarkEnd w:id="212"/>
      <w:bookmarkEnd w:id="213"/>
      <w:r>
        <w:rPr>
          <w:rFonts w:hint="eastAsia"/>
          <w:color w:val="000000" w:themeColor="text1"/>
          <w:sz w:val="21"/>
          <w:szCs w:val="21"/>
          <w14:textFill>
            <w14:solidFill>
              <w14:schemeClr w14:val="tx1"/>
            </w14:solidFill>
          </w14:textFill>
        </w:rPr>
        <w:t>城乡水务信息系统安全审计和评估方法应符合GB/T 22229和</w:t>
      </w:r>
      <w:bookmarkStart w:id="214" w:name="OLE_LINK2"/>
      <w:bookmarkStart w:id="215" w:name="OLE_LINK1"/>
      <w:r>
        <w:rPr>
          <w:rFonts w:hint="eastAsia"/>
          <w:color w:val="000000" w:themeColor="text1"/>
          <w:sz w:val="21"/>
          <w:szCs w:val="21"/>
          <w14:textFill>
            <w14:solidFill>
              <w14:schemeClr w14:val="tx1"/>
            </w14:solidFill>
          </w14:textFill>
        </w:rPr>
        <w:t>GB/T 28448</w:t>
      </w:r>
      <w:bookmarkEnd w:id="214"/>
      <w:bookmarkEnd w:id="215"/>
      <w:r>
        <w:rPr>
          <w:rFonts w:hint="eastAsia"/>
          <w:color w:val="000000" w:themeColor="text1"/>
          <w:sz w:val="21"/>
          <w:szCs w:val="21"/>
          <w14:textFill>
            <w14:solidFill>
              <w14:schemeClr w14:val="tx1"/>
            </w14:solidFill>
          </w14:textFill>
        </w:rPr>
        <w:t>的规定。</w:t>
      </w:r>
    </w:p>
    <w:p w14:paraId="0CE25CA4">
      <w:pPr>
        <w:pStyle w:val="23"/>
        <w:spacing w:before="156" w:after="156"/>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 xml:space="preserve">.2.2.2 </w:t>
      </w:r>
      <w:r>
        <w:rPr>
          <w:rFonts w:hint="eastAsia" w:ascii="宋体" w:hAnsi="宋体" w:eastAsia="宋体" w:cs="宋体"/>
          <w:color w:val="000000" w:themeColor="text1"/>
          <w14:textFill>
            <w14:solidFill>
              <w14:schemeClr w14:val="tx1"/>
            </w14:solidFill>
          </w14:textFill>
        </w:rPr>
        <w:t>应通过资产评估，对城乡水务信息系统的评估对象进行资产识别和分类定级，资产识别与定级应按照</w:t>
      </w:r>
      <w:r>
        <w:rPr>
          <w:rFonts w:ascii="宋体" w:hAnsi="宋体" w:eastAsia="宋体" w:cs="宋体"/>
          <w:color w:val="000000" w:themeColor="text1"/>
          <w14:textFill>
            <w14:solidFill>
              <w14:schemeClr w14:val="tx1"/>
            </w14:solidFill>
          </w14:textFill>
        </w:rPr>
        <w:t>GB/T 28448</w:t>
      </w:r>
      <w:r>
        <w:rPr>
          <w:rFonts w:hint="eastAsia" w:ascii="宋体" w:hAnsi="宋体" w:eastAsia="宋体" w:cs="宋体"/>
          <w:color w:val="000000" w:themeColor="text1"/>
          <w14:textFill>
            <w14:solidFill>
              <w14:schemeClr w14:val="tx1"/>
            </w14:solidFill>
          </w14:textFill>
        </w:rPr>
        <w:t>执行。</w:t>
      </w:r>
    </w:p>
    <w:p w14:paraId="6308A976">
      <w:pPr>
        <w:pStyle w:val="23"/>
        <w:spacing w:before="156" w:after="156"/>
        <w:rPr>
          <w:rFonts w:ascii="宋体" w:hAnsi="宋体" w:eastAsia="宋体" w:cs="宋体"/>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 xml:space="preserve">.2.2.3 </w:t>
      </w:r>
      <w:r>
        <w:rPr>
          <w:rFonts w:hint="eastAsia" w:ascii="宋体" w:hAnsi="宋体" w:eastAsia="宋体" w:cs="宋体"/>
          <w:color w:val="000000" w:themeColor="text1"/>
          <w14:textFill>
            <w14:solidFill>
              <w14:schemeClr w14:val="tx1"/>
            </w14:solidFill>
          </w14:textFill>
        </w:rPr>
        <w:t>在确定评估范围后，应对其资产价值进行分析。城乡水务信息系统的资产识别可按表</w:t>
      </w:r>
      <w:r>
        <w:rPr>
          <w:rFonts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进行分类。</w:t>
      </w:r>
    </w:p>
    <w:p w14:paraId="3E1786DD">
      <w:pPr>
        <w:pStyle w:val="3"/>
        <w:spacing w:line="240" w:lineRule="auto"/>
        <w:jc w:val="center"/>
        <w:rPr>
          <w:rFonts w:ascii="黑体" w:hAnsi="黑体"/>
          <w:color w:val="000000" w:themeColor="text1"/>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 xml:space="preserve">表 </w:t>
      </w:r>
      <w:r>
        <w:rPr>
          <w:rFonts w:ascii="黑体" w:hAnsi="黑体"/>
          <w:color w:val="000000" w:themeColor="text1"/>
          <w:sz w:val="21"/>
          <w:szCs w:val="21"/>
          <w14:textFill>
            <w14:solidFill>
              <w14:schemeClr w14:val="tx1"/>
            </w14:solidFill>
          </w14:textFill>
        </w:rPr>
        <w:t>1</w:t>
      </w:r>
      <w:r>
        <w:rPr>
          <w:rFonts w:hint="eastAsia" w:ascii="黑体" w:hAnsi="黑体"/>
          <w:color w:val="000000" w:themeColor="text1"/>
          <w:sz w:val="21"/>
          <w:szCs w:val="21"/>
          <w14:textFill>
            <w14:solidFill>
              <w14:schemeClr w14:val="tx1"/>
            </w14:solidFill>
          </w14:textFill>
        </w:rPr>
        <w:t>资产识别</w:t>
      </w:r>
    </w:p>
    <w:tbl>
      <w:tblPr>
        <w:tblStyle w:val="1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6883"/>
      </w:tblGrid>
      <w:tr w14:paraId="7E4A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279D90EC">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类别</w:t>
            </w:r>
          </w:p>
        </w:tc>
        <w:tc>
          <w:tcPr>
            <w:tcW w:w="6883" w:type="dxa"/>
          </w:tcPr>
          <w:p w14:paraId="62CD6FE5">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解释</w:t>
            </w:r>
          </w:p>
        </w:tc>
      </w:tr>
      <w:tr w14:paraId="5105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0D0DD0D8">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信息</w:t>
            </w:r>
          </w:p>
        </w:tc>
        <w:tc>
          <w:tcPr>
            <w:tcW w:w="6883" w:type="dxa"/>
          </w:tcPr>
          <w:p w14:paraId="6611B978">
            <w:pPr>
              <w:pStyle w:val="12"/>
              <w:spacing w:before="0" w:beforeAutospacing="0" w:after="0" w:afterAutospacing="0" w:line="24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以物理或电子的方式记录的数据，或者用于完成组织任务的知识产权，例如源代码、数据库数据、系统文档、计划、报告、用户手册等</w:t>
            </w:r>
          </w:p>
        </w:tc>
      </w:tr>
      <w:tr w14:paraId="156A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4E283F8D">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软件</w:t>
            </w:r>
          </w:p>
        </w:tc>
        <w:tc>
          <w:tcPr>
            <w:tcW w:w="6883" w:type="dxa"/>
          </w:tcPr>
          <w:p w14:paraId="791AD4FE">
            <w:pPr>
              <w:pStyle w:val="12"/>
              <w:spacing w:before="0" w:beforeAutospacing="0" w:after="0" w:afterAutospacing="0" w:line="24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软件应用程序和服务，例如操作系统、数据库应用程序、网络软件、业务应用程序等用于处理、存储和传输信息</w:t>
            </w:r>
          </w:p>
        </w:tc>
      </w:tr>
      <w:tr w14:paraId="64DC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2086AABE">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硬件</w:t>
            </w:r>
          </w:p>
        </w:tc>
        <w:tc>
          <w:tcPr>
            <w:tcW w:w="6883" w:type="dxa"/>
          </w:tcPr>
          <w:p w14:paraId="6951093F">
            <w:pPr>
              <w:pStyle w:val="12"/>
              <w:spacing w:before="0" w:beforeAutospacing="0" w:after="0" w:afterAutospacing="0" w:line="24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信息技术的物理设备，例如计算机硬件、路由器、交换机、硬件防火墙、程控交换机、备份存储设备、工作站、服务器等</w:t>
            </w:r>
          </w:p>
        </w:tc>
      </w:tr>
      <w:tr w14:paraId="79A8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0025FA58">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系统</w:t>
            </w:r>
          </w:p>
        </w:tc>
        <w:tc>
          <w:tcPr>
            <w:tcW w:w="6883" w:type="dxa"/>
          </w:tcPr>
          <w:p w14:paraId="4C01BC7D">
            <w:pPr>
              <w:pStyle w:val="12"/>
              <w:spacing w:before="0" w:beforeAutospacing="0" w:after="0" w:afterAutospacing="0" w:line="24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处理和存储信息的信息系统，代表一组信息、软件和硬件资产</w:t>
            </w:r>
          </w:p>
        </w:tc>
      </w:tr>
      <w:tr w14:paraId="18DB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5E0A1D7D">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其他设备</w:t>
            </w:r>
          </w:p>
        </w:tc>
        <w:tc>
          <w:tcPr>
            <w:tcW w:w="6883" w:type="dxa"/>
          </w:tcPr>
          <w:p w14:paraId="451A3122">
            <w:pPr>
              <w:pStyle w:val="12"/>
              <w:spacing w:before="0" w:beforeAutospacing="0" w:after="0" w:afterAutospacing="0" w:line="24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信息系统运行环境所涉及的必要设备，例如电源、空调、保险柜、文件柜、门禁、消防设施等</w:t>
            </w:r>
          </w:p>
        </w:tc>
      </w:tr>
    </w:tbl>
    <w:p w14:paraId="4530C5F3">
      <w:pPr>
        <w:pStyle w:val="23"/>
        <w:spacing w:before="156" w:after="156"/>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 xml:space="preserve">.2.2.4 </w:t>
      </w:r>
      <w:r>
        <w:rPr>
          <w:rFonts w:hint="eastAsia" w:ascii="宋体" w:hAnsi="宋体" w:eastAsia="宋体" w:cs="宋体"/>
          <w:color w:val="000000" w:themeColor="text1"/>
          <w14:textFill>
            <w14:solidFill>
              <w14:schemeClr w14:val="tx1"/>
            </w14:solidFill>
          </w14:textFill>
        </w:rPr>
        <w:t>应根据城乡水务信息系统安全保护等级对系统重要性进行资产安全等级赋值。资产安全等级赋值可按表</w:t>
      </w:r>
      <w:r>
        <w:rPr>
          <w:rFonts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进行</w:t>
      </w:r>
      <w:r>
        <w:rPr>
          <w:rFonts w:hint="eastAsia"/>
          <w:color w:val="000000" w:themeColor="text1"/>
          <w14:textFill>
            <w14:solidFill>
              <w14:schemeClr w14:val="tx1"/>
            </w14:solidFill>
          </w14:textFill>
        </w:rPr>
        <w:t>。</w:t>
      </w:r>
    </w:p>
    <w:p w14:paraId="7B26C1EE">
      <w:pPr>
        <w:pStyle w:val="3"/>
        <w:spacing w:line="240" w:lineRule="auto"/>
        <w:jc w:val="center"/>
        <w:rPr>
          <w:rFonts w:ascii="黑体" w:hAnsi="黑体"/>
          <w:color w:val="000000" w:themeColor="text1"/>
          <w:sz w:val="21"/>
          <w:szCs w:val="21"/>
          <w14:textFill>
            <w14:solidFill>
              <w14:schemeClr w14:val="tx1"/>
            </w14:solidFill>
          </w14:textFill>
        </w:rPr>
      </w:pPr>
      <w:r>
        <w:rPr>
          <w:rFonts w:ascii="黑体" w:hAnsi="黑体"/>
          <w:color w:val="000000" w:themeColor="text1"/>
          <w:sz w:val="21"/>
          <w:szCs w:val="21"/>
          <w14:textFill>
            <w14:solidFill>
              <w14:schemeClr w14:val="tx1"/>
            </w14:solidFill>
          </w14:textFill>
        </w:rPr>
        <w:t xml:space="preserve">表 2 </w:t>
      </w:r>
      <w:r>
        <w:rPr>
          <w:rFonts w:hint="eastAsia" w:ascii="黑体" w:hAnsi="黑体"/>
          <w:color w:val="000000" w:themeColor="text1"/>
          <w:sz w:val="21"/>
          <w:szCs w:val="21"/>
          <w14:textFill>
            <w14:solidFill>
              <w14:schemeClr w14:val="tx1"/>
            </w14:solidFill>
          </w14:textFill>
        </w:rPr>
        <w:t>资产安全等级赋值</w:t>
      </w:r>
    </w:p>
    <w:tbl>
      <w:tblPr>
        <w:tblStyle w:val="15"/>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134"/>
        <w:gridCol w:w="5812"/>
      </w:tblGrid>
      <w:tr w14:paraId="093C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14:paraId="18EAD2AE">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资产安全等级</w:t>
            </w:r>
          </w:p>
        </w:tc>
        <w:tc>
          <w:tcPr>
            <w:tcW w:w="1134" w:type="dxa"/>
            <w:vAlign w:val="center"/>
          </w:tcPr>
          <w:p w14:paraId="03A12393">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级别</w:t>
            </w:r>
          </w:p>
        </w:tc>
        <w:tc>
          <w:tcPr>
            <w:tcW w:w="5812" w:type="dxa"/>
            <w:vAlign w:val="center"/>
          </w:tcPr>
          <w:p w14:paraId="57DE6105">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解释</w:t>
            </w:r>
          </w:p>
        </w:tc>
      </w:tr>
      <w:tr w14:paraId="77FC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14:paraId="7D8B0222">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134" w:type="dxa"/>
            <w:vAlign w:val="center"/>
          </w:tcPr>
          <w:p w14:paraId="58DDBF5F">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很高</w:t>
            </w:r>
          </w:p>
        </w:tc>
        <w:tc>
          <w:tcPr>
            <w:tcW w:w="5812" w:type="dxa"/>
          </w:tcPr>
          <w:p w14:paraId="4E038471">
            <w:pPr>
              <w:pStyle w:val="12"/>
              <w:spacing w:before="0" w:beforeAutospacing="0" w:after="0" w:afterAutospacing="0" w:line="240" w:lineRule="auto"/>
              <w:jc w:val="both"/>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非常重要，在生产控制区域内，具有控制功能，且其安全属性破坏后可能对组织造成非常严重的损失</w:t>
            </w:r>
          </w:p>
        </w:tc>
      </w:tr>
      <w:tr w14:paraId="4242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14:paraId="34017E5B">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134" w:type="dxa"/>
            <w:vAlign w:val="center"/>
          </w:tcPr>
          <w:p w14:paraId="38594871">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高</w:t>
            </w:r>
          </w:p>
        </w:tc>
        <w:tc>
          <w:tcPr>
            <w:tcW w:w="5812" w:type="dxa"/>
          </w:tcPr>
          <w:p w14:paraId="543CF9A8">
            <w:pPr>
              <w:pStyle w:val="12"/>
              <w:spacing w:before="0" w:beforeAutospacing="0" w:after="0" w:afterAutospacing="0" w:line="240" w:lineRule="auto"/>
              <w:jc w:val="both"/>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重要，生产控制区域内，不具有控制功能，其安全属性破坏后可能对组织造成比较严重的损失</w:t>
            </w:r>
          </w:p>
        </w:tc>
      </w:tr>
      <w:tr w14:paraId="5062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14:paraId="0BD0691A">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134" w:type="dxa"/>
            <w:vAlign w:val="center"/>
          </w:tcPr>
          <w:p w14:paraId="555CB7C7">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中等</w:t>
            </w:r>
          </w:p>
        </w:tc>
        <w:tc>
          <w:tcPr>
            <w:tcW w:w="5812" w:type="dxa"/>
          </w:tcPr>
          <w:p w14:paraId="61032302">
            <w:pPr>
              <w:pStyle w:val="12"/>
              <w:spacing w:before="0" w:beforeAutospacing="0" w:after="0" w:afterAutospacing="0" w:line="240" w:lineRule="auto"/>
              <w:jc w:val="both"/>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比较重要，生产控制区域内，其安全属性破坏后可能对组织造成中等程度的损失</w:t>
            </w:r>
          </w:p>
        </w:tc>
      </w:tr>
      <w:tr w14:paraId="2B27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14:paraId="006FA096">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134" w:type="dxa"/>
            <w:vAlign w:val="center"/>
          </w:tcPr>
          <w:p w14:paraId="5570541C">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低</w:t>
            </w:r>
          </w:p>
        </w:tc>
        <w:tc>
          <w:tcPr>
            <w:tcW w:w="5812" w:type="dxa"/>
          </w:tcPr>
          <w:p w14:paraId="5157AA29">
            <w:pPr>
              <w:pStyle w:val="12"/>
              <w:spacing w:before="0" w:beforeAutospacing="0" w:after="0" w:afterAutospacing="0" w:line="240" w:lineRule="auto"/>
              <w:jc w:val="both"/>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不太重要，生产控制区域内，其安全属性破坏后可能对组织造成较低的损失</w:t>
            </w:r>
          </w:p>
        </w:tc>
      </w:tr>
      <w:tr w14:paraId="47C2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14:paraId="31D9FE49">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134" w:type="dxa"/>
            <w:vAlign w:val="center"/>
          </w:tcPr>
          <w:p w14:paraId="12FD03B3">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很低</w:t>
            </w:r>
          </w:p>
        </w:tc>
        <w:tc>
          <w:tcPr>
            <w:tcW w:w="5812" w:type="dxa"/>
          </w:tcPr>
          <w:p w14:paraId="0F83A0F4">
            <w:pPr>
              <w:pStyle w:val="12"/>
              <w:spacing w:before="0" w:beforeAutospacing="0" w:after="0" w:afterAutospacing="0" w:line="240" w:lineRule="auto"/>
              <w:jc w:val="both"/>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不重要，其安全属性破坏后不会造成损害</w:t>
            </w:r>
          </w:p>
        </w:tc>
      </w:tr>
    </w:tbl>
    <w:p w14:paraId="08597B22">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p>
    <w:p w14:paraId="6BD58072">
      <w:pPr>
        <w:pStyle w:val="23"/>
        <w:spacing w:before="156" w:after="156"/>
        <w:rPr>
          <w:rFonts w:hAnsi="宋体" w:cs="宋体"/>
          <w:color w:val="000000" w:themeColor="text1"/>
          <w14:textFill>
            <w14:solidFill>
              <w14:schemeClr w14:val="tx1"/>
            </w14:solidFill>
          </w14:textFill>
        </w:rPr>
      </w:pPr>
      <w:bookmarkStart w:id="216" w:name="OLE_LINK57"/>
      <w:bookmarkStart w:id="217" w:name="OLE_LINK58"/>
      <w:r>
        <w:rPr>
          <w:color w:val="000000" w:themeColor="text1"/>
          <w14:textFill>
            <w14:solidFill>
              <w14:schemeClr w14:val="tx1"/>
            </w14:solidFill>
          </w14:textFill>
        </w:rPr>
        <w:t>7</w:t>
      </w:r>
      <w:r>
        <w:rPr>
          <w:rFonts w:hint="eastAsia"/>
          <w:color w:val="000000" w:themeColor="text1"/>
          <w14:textFill>
            <w14:solidFill>
              <w14:schemeClr w14:val="tx1"/>
            </w14:solidFill>
          </w14:textFill>
        </w:rPr>
        <w:t xml:space="preserve">.2.2.5 </w:t>
      </w:r>
      <w:bookmarkEnd w:id="216"/>
      <w:bookmarkEnd w:id="217"/>
      <w:r>
        <w:rPr>
          <w:rFonts w:ascii="宋体" w:hAnsi="宋体" w:eastAsia="宋体" w:cs="宋体"/>
          <w:color w:val="000000" w:themeColor="text1"/>
          <w14:textFill>
            <w14:solidFill>
              <w14:schemeClr w14:val="tx1"/>
            </w14:solidFill>
          </w14:textFill>
        </w:rPr>
        <w:t>威胁评估</w:t>
      </w:r>
      <w:r>
        <w:rPr>
          <w:rFonts w:hint="eastAsia" w:ascii="宋体" w:hAnsi="宋体" w:eastAsia="宋体" w:cs="宋体"/>
          <w:color w:val="000000" w:themeColor="text1"/>
          <w14:textFill>
            <w14:solidFill>
              <w14:schemeClr w14:val="tx1"/>
            </w14:solidFill>
          </w14:textFill>
        </w:rPr>
        <w:t>应</w:t>
      </w:r>
      <w:r>
        <w:rPr>
          <w:rFonts w:ascii="宋体" w:hAnsi="宋体" w:eastAsia="宋体" w:cs="宋体"/>
          <w:color w:val="000000" w:themeColor="text1"/>
          <w14:textFill>
            <w14:solidFill>
              <w14:schemeClr w14:val="tx1"/>
            </w14:solidFill>
          </w14:textFill>
        </w:rPr>
        <w:t>包括</w:t>
      </w:r>
      <w:r>
        <w:rPr>
          <w:rFonts w:hint="eastAsia" w:ascii="宋体" w:hAnsi="宋体" w:eastAsia="宋体" w:cs="宋体"/>
          <w:color w:val="000000" w:themeColor="text1"/>
          <w14:textFill>
            <w14:solidFill>
              <w14:schemeClr w14:val="tx1"/>
            </w14:solidFill>
          </w14:textFill>
        </w:rPr>
        <w:t>下列内容：</w:t>
      </w:r>
    </w:p>
    <w:p w14:paraId="78AD7EFC">
      <w:pPr>
        <w:pStyle w:val="12"/>
        <w:numPr>
          <w:ilvl w:val="0"/>
          <w:numId w:val="31"/>
        </w:numPr>
        <w:spacing w:before="0" w:beforeAutospacing="0" w:after="0" w:afterAutospacing="0"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w:t>
      </w:r>
      <w:r>
        <w:rPr>
          <w:rFonts w:hint="eastAsia"/>
          <w:color w:val="000000" w:themeColor="text1"/>
          <w:sz w:val="21"/>
          <w:szCs w:val="21"/>
          <w14:textFill>
            <w14:solidFill>
              <w14:schemeClr w14:val="tx1"/>
            </w14:solidFill>
          </w14:textFill>
        </w:rPr>
        <w:t>城乡水务信息系统</w:t>
      </w:r>
      <w:r>
        <w:rPr>
          <w:color w:val="000000" w:themeColor="text1"/>
          <w:sz w:val="21"/>
          <w:szCs w:val="21"/>
          <w14:textFill>
            <w14:solidFill>
              <w14:schemeClr w14:val="tx1"/>
            </w14:solidFill>
          </w14:textFill>
        </w:rPr>
        <w:t>的运行环境确定面临的威胁来源</w:t>
      </w:r>
      <w:r>
        <w:rPr>
          <w:rFonts w:hint="eastAsia"/>
          <w:color w:val="000000" w:themeColor="text1"/>
          <w:sz w:val="21"/>
          <w:szCs w:val="21"/>
          <w14:textFill>
            <w14:solidFill>
              <w14:schemeClr w14:val="tx1"/>
            </w14:solidFill>
          </w14:textFill>
        </w:rPr>
        <w:t>；</w:t>
      </w:r>
    </w:p>
    <w:p w14:paraId="32ED8734">
      <w:pPr>
        <w:pStyle w:val="12"/>
        <w:numPr>
          <w:ilvl w:val="0"/>
          <w:numId w:val="31"/>
        </w:numPr>
        <w:spacing w:before="0" w:beforeAutospacing="0" w:after="0" w:afterAutospacing="0"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确定威胁的严重程度和发生的频率</w:t>
      </w:r>
      <w:r>
        <w:rPr>
          <w:rFonts w:hint="eastAsia"/>
          <w:color w:val="000000" w:themeColor="text1"/>
          <w:sz w:val="21"/>
          <w:szCs w:val="21"/>
          <w14:textFill>
            <w14:solidFill>
              <w14:schemeClr w14:val="tx1"/>
            </w14:solidFill>
          </w14:textFill>
        </w:rPr>
        <w:t>。</w:t>
      </w:r>
    </w:p>
    <w:p w14:paraId="5D68A0E4">
      <w:pPr>
        <w:pStyle w:val="26"/>
        <w:ind w:firstLine="0" w:firstLineChars="0"/>
        <w:rPr>
          <w:rFonts w:hAnsi="宋体"/>
          <w:color w:val="000000" w:themeColor="text1"/>
          <w:szCs w:val="2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 xml:space="preserve">.2.2.6 </w:t>
      </w:r>
      <w:r>
        <w:rPr>
          <w:rFonts w:hint="eastAsia" w:hAnsi="宋体"/>
          <w:color w:val="000000" w:themeColor="text1"/>
          <w:szCs w:val="21"/>
          <w14:textFill>
            <w14:solidFill>
              <w14:schemeClr w14:val="tx1"/>
            </w14:solidFill>
          </w14:textFill>
        </w:rPr>
        <w:t>威胁评估</w:t>
      </w:r>
      <w:r>
        <w:rPr>
          <w:rFonts w:hAnsi="宋体"/>
          <w:color w:val="000000" w:themeColor="text1"/>
          <w:szCs w:val="21"/>
          <w14:textFill>
            <w14:solidFill>
              <w14:schemeClr w14:val="tx1"/>
            </w14:solidFill>
          </w14:textFill>
        </w:rPr>
        <w:t>应根据资产分类结果，对</w:t>
      </w:r>
      <w:r>
        <w:rPr>
          <w:rFonts w:hint="eastAsia" w:hAnsi="宋体"/>
          <w:color w:val="000000" w:themeColor="text1"/>
          <w:szCs w:val="21"/>
          <w14:textFill>
            <w14:solidFill>
              <w14:schemeClr w14:val="tx1"/>
            </w14:solidFill>
          </w14:textFill>
        </w:rPr>
        <w:t>城乡水务信息系统</w:t>
      </w:r>
      <w:r>
        <w:rPr>
          <w:rFonts w:hAnsi="宋体"/>
          <w:color w:val="000000" w:themeColor="text1"/>
          <w:szCs w:val="21"/>
          <w14:textFill>
            <w14:solidFill>
              <w14:schemeClr w14:val="tx1"/>
            </w14:solidFill>
          </w14:textFill>
        </w:rPr>
        <w:t>进行独立或整体的威胁评估</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可按照安全分区和资产类别划分进行统一的威胁判断</w:t>
      </w:r>
      <w:r>
        <w:rPr>
          <w:rFonts w:hint="eastAsia" w:hAnsi="宋体"/>
          <w:color w:val="000000" w:themeColor="text1"/>
          <w:szCs w:val="21"/>
          <w14:textFill>
            <w14:solidFill>
              <w14:schemeClr w14:val="tx1"/>
            </w14:solidFill>
          </w14:textFill>
        </w:rPr>
        <w:t>，并应符合下列要求：</w:t>
      </w:r>
    </w:p>
    <w:p w14:paraId="6FD2AF58">
      <w:pPr>
        <w:pStyle w:val="12"/>
        <w:numPr>
          <w:ilvl w:val="0"/>
          <w:numId w:val="32"/>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城乡水务信息系统</w:t>
      </w:r>
      <w:r>
        <w:rPr>
          <w:color w:val="000000" w:themeColor="text1"/>
          <w:sz w:val="21"/>
          <w:szCs w:val="21"/>
          <w14:textFill>
            <w14:solidFill>
              <w14:schemeClr w14:val="tx1"/>
            </w14:solidFill>
          </w14:textFill>
        </w:rPr>
        <w:t>应根据物理、网络和人员环境，对资产进行威胁判定。</w:t>
      </w:r>
    </w:p>
    <w:p w14:paraId="009DBA1C">
      <w:pPr>
        <w:pStyle w:val="12"/>
        <w:numPr>
          <w:ilvl w:val="0"/>
          <w:numId w:val="32"/>
        </w:numPr>
        <w:spacing w:before="0" w:beforeAutospacing="0" w:after="0" w:afterAutospacing="0"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应根据威胁出现的频率判断得出</w:t>
      </w:r>
      <w:r>
        <w:rPr>
          <w:rFonts w:hint="eastAsia"/>
          <w:color w:val="000000" w:themeColor="text1"/>
          <w:sz w:val="21"/>
          <w:szCs w:val="21"/>
          <w14:textFill>
            <w14:solidFill>
              <w14:schemeClr w14:val="tx1"/>
            </w14:solidFill>
          </w14:textFill>
        </w:rPr>
        <w:t>等级，</w:t>
      </w:r>
      <w:r>
        <w:rPr>
          <w:color w:val="000000" w:themeColor="text1"/>
          <w:sz w:val="21"/>
          <w:szCs w:val="21"/>
          <w14:textFill>
            <w14:solidFill>
              <w14:schemeClr w14:val="tx1"/>
            </w14:solidFill>
          </w14:textFill>
        </w:rPr>
        <w:t>赋值越高，资产面临的威胁越大。根据威胁发生的可能性，定义年</w:t>
      </w:r>
      <w:r>
        <w:rPr>
          <w:rFonts w:hint="eastAsia"/>
          <w:color w:val="000000" w:themeColor="text1"/>
          <w:sz w:val="21"/>
          <w:szCs w:val="21"/>
          <w14:textFill>
            <w14:solidFill>
              <w14:schemeClr w14:val="tx1"/>
            </w14:solidFill>
          </w14:textFill>
        </w:rPr>
        <w:t>威胁等级</w:t>
      </w:r>
      <w:r>
        <w:rPr>
          <w:color w:val="000000" w:themeColor="text1"/>
          <w:sz w:val="21"/>
          <w:szCs w:val="21"/>
          <w14:textFill>
            <w14:solidFill>
              <w14:schemeClr w14:val="tx1"/>
            </w14:solidFill>
          </w14:textFill>
        </w:rPr>
        <w:t>和发生频率</w:t>
      </w:r>
      <w:r>
        <w:rPr>
          <w:rFonts w:hint="eastAsia"/>
          <w:color w:val="000000" w:themeColor="text1"/>
          <w:sz w:val="21"/>
          <w:szCs w:val="21"/>
          <w14:textFill>
            <w14:solidFill>
              <w14:schemeClr w14:val="tx1"/>
            </w14:solidFill>
          </w14:textFill>
        </w:rPr>
        <w:t>，见表</w:t>
      </w: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w:t>
      </w:r>
    </w:p>
    <w:p w14:paraId="3DF97074">
      <w:pPr>
        <w:pStyle w:val="3"/>
        <w:spacing w:line="240" w:lineRule="auto"/>
        <w:jc w:val="center"/>
        <w:rPr>
          <w:rFonts w:ascii="黑体" w:hAnsi="黑体"/>
          <w:color w:val="000000" w:themeColor="text1"/>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 xml:space="preserve">表 </w:t>
      </w:r>
      <w:r>
        <w:rPr>
          <w:rFonts w:ascii="黑体" w:hAnsi="黑体"/>
          <w:color w:val="000000" w:themeColor="text1"/>
          <w:sz w:val="21"/>
          <w:szCs w:val="21"/>
          <w14:textFill>
            <w14:solidFill>
              <w14:schemeClr w14:val="tx1"/>
            </w14:solidFill>
          </w14:textFill>
        </w:rPr>
        <w:t>3</w:t>
      </w:r>
      <w:r>
        <w:rPr>
          <w:rFonts w:hint="eastAsia" w:ascii="黑体" w:hAnsi="黑体"/>
          <w:color w:val="000000" w:themeColor="text1"/>
          <w:sz w:val="21"/>
          <w:szCs w:val="21"/>
          <w14:textFill>
            <w14:solidFill>
              <w14:schemeClr w14:val="tx1"/>
            </w14:solidFill>
          </w14:textFill>
        </w:rPr>
        <w:t>威胁等级和发生频率</w:t>
      </w:r>
    </w:p>
    <w:tbl>
      <w:tblPr>
        <w:tblStyle w:val="1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993"/>
        <w:gridCol w:w="4462"/>
        <w:gridCol w:w="1712"/>
      </w:tblGrid>
      <w:tr w14:paraId="3C44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55BF965">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威胁等级</w:t>
            </w:r>
          </w:p>
        </w:tc>
        <w:tc>
          <w:tcPr>
            <w:tcW w:w="993" w:type="dxa"/>
            <w:vAlign w:val="center"/>
          </w:tcPr>
          <w:p w14:paraId="547B622B">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威胁赋值</w:t>
            </w:r>
          </w:p>
        </w:tc>
        <w:tc>
          <w:tcPr>
            <w:tcW w:w="4462" w:type="dxa"/>
            <w:vAlign w:val="center"/>
          </w:tcPr>
          <w:p w14:paraId="1C71FA98">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定义</w:t>
            </w:r>
          </w:p>
        </w:tc>
        <w:tc>
          <w:tcPr>
            <w:tcW w:w="1712" w:type="dxa"/>
            <w:vAlign w:val="center"/>
          </w:tcPr>
          <w:p w14:paraId="5BA74D11">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年发生频率(F)</w:t>
            </w:r>
          </w:p>
        </w:tc>
      </w:tr>
      <w:tr w14:paraId="255B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9FD4016">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很高</w:t>
            </w:r>
          </w:p>
        </w:tc>
        <w:tc>
          <w:tcPr>
            <w:tcW w:w="993" w:type="dxa"/>
            <w:vAlign w:val="center"/>
          </w:tcPr>
          <w:p w14:paraId="73905C16">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4462" w:type="dxa"/>
          </w:tcPr>
          <w:p w14:paraId="0429BEDE">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威胁发生的可能性很高(或&gt;1 次/周 )</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 xml:space="preserve"> 或在大多数情况下几乎不可避免</w:t>
            </w:r>
          </w:p>
        </w:tc>
        <w:tc>
          <w:tcPr>
            <w:tcW w:w="1712" w:type="dxa"/>
            <w:vAlign w:val="center"/>
          </w:tcPr>
          <w:p w14:paraId="508BFC53">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 &gt; 50</w:t>
            </w:r>
          </w:p>
        </w:tc>
      </w:tr>
      <w:tr w14:paraId="44A9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1A2C69F">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高</w:t>
            </w:r>
          </w:p>
        </w:tc>
        <w:tc>
          <w:tcPr>
            <w:tcW w:w="993" w:type="dxa"/>
            <w:vAlign w:val="center"/>
          </w:tcPr>
          <w:p w14:paraId="6CAAAD5B">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4462" w:type="dxa"/>
          </w:tcPr>
          <w:p w14:paraId="6AC975F7">
            <w:pPr>
              <w:pStyle w:val="12"/>
              <w:spacing w:before="0" w:beforeAutospacing="0" w:after="0" w:afterAutospacing="0" w:line="240" w:lineRule="auto"/>
              <w:jc w:val="both"/>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威胁发生的可能性较高(或&gt; 1 次/月 )； 或在大多数情况下很有可能会发生</w:t>
            </w:r>
          </w:p>
        </w:tc>
        <w:tc>
          <w:tcPr>
            <w:tcW w:w="1712" w:type="dxa"/>
            <w:vAlign w:val="center"/>
          </w:tcPr>
          <w:p w14:paraId="4DBF72F3">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12 &lt; F </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 xml:space="preserve"> 50</w:t>
            </w:r>
          </w:p>
        </w:tc>
      </w:tr>
      <w:tr w14:paraId="48A65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3DA8F9A3">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中</w:t>
            </w:r>
          </w:p>
        </w:tc>
        <w:tc>
          <w:tcPr>
            <w:tcW w:w="993" w:type="dxa"/>
            <w:vAlign w:val="center"/>
          </w:tcPr>
          <w:p w14:paraId="167DC57F">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4462" w:type="dxa"/>
          </w:tcPr>
          <w:p w14:paraId="720E6676">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威胁发生的可能性中等(或&gt;1 次/半年)</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 xml:space="preserve"> 或在某种情况下可能会发生</w:t>
            </w:r>
          </w:p>
        </w:tc>
        <w:tc>
          <w:tcPr>
            <w:tcW w:w="1712" w:type="dxa"/>
            <w:vAlign w:val="center"/>
          </w:tcPr>
          <w:p w14:paraId="2D7DA817">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2 &lt; F </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 xml:space="preserve"> 12</w:t>
            </w:r>
          </w:p>
        </w:tc>
      </w:tr>
      <w:tr w14:paraId="02C7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F91587E">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低</w:t>
            </w:r>
          </w:p>
        </w:tc>
        <w:tc>
          <w:tcPr>
            <w:tcW w:w="993" w:type="dxa"/>
            <w:vAlign w:val="center"/>
          </w:tcPr>
          <w:p w14:paraId="75FCAE11">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4462" w:type="dxa"/>
          </w:tcPr>
          <w:p w14:paraId="79AEA946">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威胁发生的可能性较小</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或一般不太可能发生</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或没有被证实发生过</w:t>
            </w:r>
          </w:p>
        </w:tc>
        <w:tc>
          <w:tcPr>
            <w:tcW w:w="1712" w:type="dxa"/>
            <w:vAlign w:val="center"/>
          </w:tcPr>
          <w:p w14:paraId="3CA0E03C">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0.1 &lt; F </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 xml:space="preserve"> 2</w:t>
            </w:r>
          </w:p>
        </w:tc>
      </w:tr>
      <w:tr w14:paraId="4A16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F8BBB71">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很低</w:t>
            </w:r>
          </w:p>
        </w:tc>
        <w:tc>
          <w:tcPr>
            <w:tcW w:w="993" w:type="dxa"/>
            <w:vAlign w:val="center"/>
          </w:tcPr>
          <w:p w14:paraId="1EA29C2C">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4462" w:type="dxa"/>
          </w:tcPr>
          <w:p w14:paraId="5F4DFE5A">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威胁几乎不可能发生</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仅可能在非常罕见和例外的情况下发生</w:t>
            </w:r>
          </w:p>
        </w:tc>
        <w:tc>
          <w:tcPr>
            <w:tcW w:w="1712" w:type="dxa"/>
            <w:vAlign w:val="center"/>
          </w:tcPr>
          <w:p w14:paraId="4E23AFA4">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F </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 xml:space="preserve"> 0.1</w:t>
            </w:r>
          </w:p>
        </w:tc>
      </w:tr>
    </w:tbl>
    <w:p w14:paraId="49B6138F">
      <w:pPr>
        <w:pStyle w:val="12"/>
        <w:spacing w:before="0" w:beforeAutospacing="0" w:after="0" w:afterAutospacing="0" w:line="240" w:lineRule="auto"/>
        <w:ind w:left="860"/>
        <w:rPr>
          <w:color w:val="000000" w:themeColor="text1"/>
          <w:sz w:val="21"/>
          <w:szCs w:val="21"/>
          <w14:textFill>
            <w14:solidFill>
              <w14:schemeClr w14:val="tx1"/>
            </w14:solidFill>
          </w14:textFill>
        </w:rPr>
      </w:pPr>
    </w:p>
    <w:p w14:paraId="0738C0A5">
      <w:pPr>
        <w:pStyle w:val="12"/>
        <w:numPr>
          <w:ilvl w:val="0"/>
          <w:numId w:val="32"/>
        </w:numPr>
        <w:spacing w:before="0" w:beforeAutospacing="0" w:after="0" w:afterAutospacing="0" w:line="240" w:lineRule="auto"/>
        <w:rPr>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城乡水务信息系统面临的常见威胁表现形式见表</w:t>
      </w:r>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w:t>
      </w:r>
    </w:p>
    <w:p w14:paraId="274320FB">
      <w:pPr>
        <w:pStyle w:val="3"/>
        <w:spacing w:line="240" w:lineRule="auto"/>
        <w:jc w:val="center"/>
        <w:rPr>
          <w:rFonts w:ascii="黑体" w:hAnsi="黑体"/>
          <w:color w:val="000000" w:themeColor="text1"/>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 xml:space="preserve">表 </w:t>
      </w:r>
      <w:r>
        <w:rPr>
          <w:rFonts w:ascii="黑体" w:hAnsi="黑体"/>
          <w:color w:val="000000" w:themeColor="text1"/>
          <w:sz w:val="21"/>
          <w:szCs w:val="21"/>
          <w14:textFill>
            <w14:solidFill>
              <w14:schemeClr w14:val="tx1"/>
            </w14:solidFill>
          </w14:textFill>
        </w:rPr>
        <w:t xml:space="preserve">4 </w:t>
      </w:r>
      <w:r>
        <w:rPr>
          <w:rFonts w:hint="eastAsia" w:ascii="黑体" w:hAnsi="黑体"/>
          <w:color w:val="000000" w:themeColor="text1"/>
          <w:sz w:val="21"/>
          <w:szCs w:val="21"/>
          <w14:textFill>
            <w14:solidFill>
              <w14:schemeClr w14:val="tx1"/>
            </w14:solidFill>
          </w14:textFill>
        </w:rPr>
        <w:t>威胁表现形式</w:t>
      </w:r>
    </w:p>
    <w:tbl>
      <w:tblPr>
        <w:tblStyle w:val="1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1"/>
        <w:gridCol w:w="2994"/>
        <w:gridCol w:w="3206"/>
      </w:tblGrid>
      <w:tr w14:paraId="5406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01" w:type="dxa"/>
            <w:vAlign w:val="center"/>
          </w:tcPr>
          <w:p w14:paraId="55550903">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类型</w:t>
            </w:r>
          </w:p>
        </w:tc>
        <w:tc>
          <w:tcPr>
            <w:tcW w:w="2994" w:type="dxa"/>
            <w:vAlign w:val="center"/>
          </w:tcPr>
          <w:p w14:paraId="3A478B09">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描述</w:t>
            </w:r>
          </w:p>
        </w:tc>
        <w:tc>
          <w:tcPr>
            <w:tcW w:w="3206" w:type="dxa"/>
            <w:vAlign w:val="center"/>
          </w:tcPr>
          <w:p w14:paraId="65ADB507">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威胁子类</w:t>
            </w:r>
          </w:p>
        </w:tc>
      </w:tr>
      <w:tr w14:paraId="4092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vAlign w:val="center"/>
          </w:tcPr>
          <w:p w14:paraId="23523299">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软硬件故障</w:t>
            </w:r>
          </w:p>
        </w:tc>
        <w:tc>
          <w:tcPr>
            <w:tcW w:w="2994" w:type="dxa"/>
            <w:vAlign w:val="center"/>
          </w:tcPr>
          <w:p w14:paraId="236BCE0F">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对业务实施或系统运行产生影响的设备硬件故障、通讯链路中断、系统本身或软件缺陷等问题</w:t>
            </w:r>
          </w:p>
        </w:tc>
        <w:tc>
          <w:tcPr>
            <w:tcW w:w="3206" w:type="dxa"/>
            <w:vAlign w:val="center"/>
          </w:tcPr>
          <w:p w14:paraId="79CCCAF2">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设备硬件故障、传输设备故障、存储媒体故障、系统软件故障、应用软件故障、数据库软件故障、开发环境故障等</w:t>
            </w:r>
          </w:p>
        </w:tc>
      </w:tr>
      <w:tr w14:paraId="67AB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vAlign w:val="center"/>
          </w:tcPr>
          <w:p w14:paraId="53357314">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物理环境影响</w:t>
            </w:r>
          </w:p>
        </w:tc>
        <w:tc>
          <w:tcPr>
            <w:tcW w:w="2994" w:type="dxa"/>
            <w:vAlign w:val="center"/>
          </w:tcPr>
          <w:p w14:paraId="448CA593">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对信息系统正常运行造成影响的物理环境问题和自然灾害</w:t>
            </w:r>
          </w:p>
        </w:tc>
        <w:tc>
          <w:tcPr>
            <w:tcW w:w="3206" w:type="dxa"/>
            <w:vAlign w:val="center"/>
          </w:tcPr>
          <w:p w14:paraId="62B8D40A">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断电、静电、灰尘、潮湿、温度、鼠蚁虫害、电磁干扰、洪灾、火灾、地震等</w:t>
            </w:r>
          </w:p>
        </w:tc>
      </w:tr>
      <w:tr w14:paraId="6A96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vAlign w:val="center"/>
          </w:tcPr>
          <w:p w14:paraId="350552EE">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无作为或操作失误</w:t>
            </w:r>
          </w:p>
        </w:tc>
        <w:tc>
          <w:tcPr>
            <w:tcW w:w="2994" w:type="dxa"/>
            <w:vAlign w:val="center"/>
          </w:tcPr>
          <w:p w14:paraId="284B4BAE">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应该执行而没有执行相应的操作，或无意执行了错误的操作</w:t>
            </w:r>
          </w:p>
        </w:tc>
        <w:tc>
          <w:tcPr>
            <w:tcW w:w="3206" w:type="dxa"/>
            <w:vAlign w:val="center"/>
          </w:tcPr>
          <w:p w14:paraId="6BA3162B">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维护错误、操作失误等</w:t>
            </w:r>
          </w:p>
        </w:tc>
      </w:tr>
      <w:tr w14:paraId="078F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vAlign w:val="center"/>
          </w:tcPr>
          <w:p w14:paraId="26D9F429">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管理不到位</w:t>
            </w:r>
          </w:p>
        </w:tc>
        <w:tc>
          <w:tcPr>
            <w:tcW w:w="2994" w:type="dxa"/>
            <w:vAlign w:val="center"/>
          </w:tcPr>
          <w:p w14:paraId="12788464">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安全管理无法落实或不到位，从而破坏信息系统正常有序运行</w:t>
            </w:r>
          </w:p>
        </w:tc>
        <w:tc>
          <w:tcPr>
            <w:tcW w:w="3206" w:type="dxa"/>
            <w:vAlign w:val="center"/>
          </w:tcPr>
          <w:p w14:paraId="347BAC59">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管理制度和策略不完善、管理规程缺失、职责不明确、监督控管机制不健全等</w:t>
            </w:r>
          </w:p>
        </w:tc>
      </w:tr>
      <w:tr w14:paraId="21AB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vAlign w:val="center"/>
          </w:tcPr>
          <w:p w14:paraId="2AE46727">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恶意代码</w:t>
            </w:r>
          </w:p>
        </w:tc>
        <w:tc>
          <w:tcPr>
            <w:tcW w:w="2994" w:type="dxa"/>
            <w:vAlign w:val="center"/>
          </w:tcPr>
          <w:p w14:paraId="175615BE">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故意在计算机系统上执行恶意任务的程序代码</w:t>
            </w:r>
          </w:p>
        </w:tc>
        <w:tc>
          <w:tcPr>
            <w:tcW w:w="3206" w:type="dxa"/>
            <w:vAlign w:val="center"/>
          </w:tcPr>
          <w:p w14:paraId="5C8CD3F1">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病毒、特洛伊木马、蠕虫、陷门、间谍软件、窃听软件等</w:t>
            </w:r>
          </w:p>
        </w:tc>
      </w:tr>
      <w:tr w14:paraId="71FA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vAlign w:val="center"/>
          </w:tcPr>
          <w:p w14:paraId="5240F8F8">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越权或滥用</w:t>
            </w:r>
          </w:p>
        </w:tc>
        <w:tc>
          <w:tcPr>
            <w:tcW w:w="2994" w:type="dxa"/>
            <w:vAlign w:val="center"/>
          </w:tcPr>
          <w:p w14:paraId="219C308A">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通过采用一些措施，超越自己的权限访问了本来无权访问的资源，或者滥用自己的权限，做出破坏信息系统的行为</w:t>
            </w:r>
          </w:p>
        </w:tc>
        <w:tc>
          <w:tcPr>
            <w:tcW w:w="3206" w:type="dxa"/>
            <w:vAlign w:val="center"/>
          </w:tcPr>
          <w:p w14:paraId="7FFEEDEE">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非授权访问网络资源、非授权访问系统资源、滥用权限非正常修改系统配置或数据、滥用权限泄露秘密信息等</w:t>
            </w:r>
          </w:p>
        </w:tc>
      </w:tr>
      <w:tr w14:paraId="677F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vAlign w:val="center"/>
          </w:tcPr>
          <w:p w14:paraId="3903A708">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网络攻击</w:t>
            </w:r>
          </w:p>
        </w:tc>
        <w:tc>
          <w:tcPr>
            <w:tcW w:w="2994" w:type="dxa"/>
            <w:vAlign w:val="center"/>
          </w:tcPr>
          <w:p w14:paraId="5C2BA05E">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利用工具和技术通过网络对信息系统进行攻击和入侵</w:t>
            </w:r>
          </w:p>
        </w:tc>
        <w:tc>
          <w:tcPr>
            <w:tcW w:w="3206" w:type="dxa"/>
            <w:vAlign w:val="center"/>
          </w:tcPr>
          <w:p w14:paraId="10B41469">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网络探测和信息采集、漏洞探测、嗅探（帐号、口令、权限等）、用户身份伪造和欺骗、用户或业务数据的窃取和破坏、系统运行的控制和破坏等</w:t>
            </w:r>
          </w:p>
        </w:tc>
      </w:tr>
      <w:tr w14:paraId="5A53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vAlign w:val="center"/>
          </w:tcPr>
          <w:p w14:paraId="2C004B12">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物理攻击</w:t>
            </w:r>
          </w:p>
        </w:tc>
        <w:tc>
          <w:tcPr>
            <w:tcW w:w="2994" w:type="dxa"/>
            <w:vAlign w:val="center"/>
          </w:tcPr>
          <w:p w14:paraId="224CAF82">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通过物理的接触造成对软件、硬件、数据的破坏</w:t>
            </w:r>
          </w:p>
        </w:tc>
        <w:tc>
          <w:tcPr>
            <w:tcW w:w="3206" w:type="dxa"/>
            <w:vAlign w:val="center"/>
          </w:tcPr>
          <w:p w14:paraId="72F5CA04">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物理接触、物理破坏、盗窃等</w:t>
            </w:r>
          </w:p>
        </w:tc>
      </w:tr>
      <w:tr w14:paraId="091B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vAlign w:val="center"/>
          </w:tcPr>
          <w:p w14:paraId="629F7124">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泄密</w:t>
            </w:r>
          </w:p>
        </w:tc>
        <w:tc>
          <w:tcPr>
            <w:tcW w:w="2994" w:type="dxa"/>
            <w:vAlign w:val="center"/>
          </w:tcPr>
          <w:p w14:paraId="19C44A7F">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信息泄露给不应了解的他人</w:t>
            </w:r>
          </w:p>
        </w:tc>
        <w:tc>
          <w:tcPr>
            <w:tcW w:w="3206" w:type="dxa"/>
            <w:vAlign w:val="center"/>
          </w:tcPr>
          <w:p w14:paraId="1A6AAA81">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内部信息泄露、外部信息泄露等</w:t>
            </w:r>
          </w:p>
        </w:tc>
      </w:tr>
      <w:tr w14:paraId="403A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vAlign w:val="center"/>
          </w:tcPr>
          <w:p w14:paraId="0A595B57">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篡改</w:t>
            </w:r>
          </w:p>
        </w:tc>
        <w:tc>
          <w:tcPr>
            <w:tcW w:w="2994" w:type="dxa"/>
            <w:vAlign w:val="center"/>
          </w:tcPr>
          <w:p w14:paraId="2111DA8B">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非法修改信息，破坏信息的完整性使系统的安全性降低或信息不可用</w:t>
            </w:r>
          </w:p>
        </w:tc>
        <w:tc>
          <w:tcPr>
            <w:tcW w:w="3206" w:type="dxa"/>
            <w:vAlign w:val="center"/>
          </w:tcPr>
          <w:p w14:paraId="44F9DA57">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篡改网络配置信息、篡改系统配置信息、篡改安全配置信息、篡改用户身份信息或业务数据信息等</w:t>
            </w:r>
          </w:p>
        </w:tc>
      </w:tr>
      <w:tr w14:paraId="69EE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vAlign w:val="center"/>
          </w:tcPr>
          <w:p w14:paraId="10CE1726">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抵赖</w:t>
            </w:r>
          </w:p>
        </w:tc>
        <w:tc>
          <w:tcPr>
            <w:tcW w:w="2994" w:type="dxa"/>
            <w:vAlign w:val="center"/>
          </w:tcPr>
          <w:p w14:paraId="4D5ABD0F">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不承认收到的信息和所作的操作和交易</w:t>
            </w:r>
          </w:p>
        </w:tc>
        <w:tc>
          <w:tcPr>
            <w:tcW w:w="3206" w:type="dxa"/>
            <w:vAlign w:val="center"/>
          </w:tcPr>
          <w:p w14:paraId="2D13C164">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原发抵赖、接收抵赖、第三方抵赖等</w:t>
            </w:r>
          </w:p>
        </w:tc>
      </w:tr>
    </w:tbl>
    <w:p w14:paraId="0CB1C44A">
      <w:pPr>
        <w:pStyle w:val="26"/>
        <w:ind w:firstLine="420"/>
        <w:rPr>
          <w:rFonts w:hAnsi="宋体"/>
          <w:color w:val="000000" w:themeColor="text1"/>
          <w:szCs w:val="21"/>
          <w14:textFill>
            <w14:solidFill>
              <w14:schemeClr w14:val="tx1"/>
            </w14:solidFill>
          </w14:textFill>
        </w:rPr>
      </w:pPr>
    </w:p>
    <w:p w14:paraId="6F579AAE">
      <w:pPr>
        <w:pStyle w:val="23"/>
        <w:spacing w:before="156" w:after="156"/>
        <w:rPr>
          <w:rFonts w:ascii="宋体" w:hAnsi="宋体" w:eastAsia="宋体"/>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.2.2.5</w:t>
      </w:r>
      <w:r>
        <w:rPr>
          <w:rFonts w:ascii="宋体" w:hAnsi="宋体" w:eastAsia="宋体"/>
          <w:color w:val="000000" w:themeColor="text1"/>
          <w14:textFill>
            <w14:solidFill>
              <w14:schemeClr w14:val="tx1"/>
            </w14:solidFill>
          </w14:textFill>
        </w:rPr>
        <w:t>脆弱性评估是发现与分析</w:t>
      </w:r>
      <w:r>
        <w:rPr>
          <w:rFonts w:hint="eastAsia" w:ascii="宋体" w:hAnsi="宋体" w:eastAsia="宋体"/>
          <w:color w:val="000000" w:themeColor="text1"/>
          <w14:textFill>
            <w14:solidFill>
              <w14:schemeClr w14:val="tx1"/>
            </w14:solidFill>
          </w14:textFill>
        </w:rPr>
        <w:t>城乡水务信息系统</w:t>
      </w:r>
      <w:r>
        <w:rPr>
          <w:rFonts w:ascii="宋体" w:hAnsi="宋体" w:eastAsia="宋体"/>
          <w:color w:val="000000" w:themeColor="text1"/>
          <w14:textFill>
            <w14:solidFill>
              <w14:schemeClr w14:val="tx1"/>
            </w14:solidFill>
          </w14:textFill>
        </w:rPr>
        <w:t>中存在的可被威胁利用的缺陷的过程</w:t>
      </w:r>
      <w:r>
        <w:rPr>
          <w:rFonts w:hint="eastAsia" w:ascii="宋体" w:hAnsi="宋体" w:eastAsia="宋体"/>
          <w:color w:val="000000" w:themeColor="text1"/>
          <w14:textFill>
            <w14:solidFill>
              <w14:schemeClr w14:val="tx1"/>
            </w14:solidFill>
          </w14:textFill>
        </w:rPr>
        <w:t>，应</w:t>
      </w:r>
      <w:r>
        <w:rPr>
          <w:rFonts w:ascii="宋体" w:hAnsi="宋体" w:eastAsia="宋体"/>
          <w:color w:val="000000" w:themeColor="text1"/>
          <w14:textFill>
            <w14:solidFill>
              <w14:schemeClr w14:val="tx1"/>
            </w14:solidFill>
          </w14:textFill>
        </w:rPr>
        <w:t>包括脆弱性识别和赋值两个步骤,</w:t>
      </w:r>
      <w:r>
        <w:rPr>
          <w:rFonts w:hint="eastAsia" w:ascii="宋体" w:hAnsi="宋体" w:eastAsia="宋体"/>
          <w:color w:val="000000" w:themeColor="text1"/>
          <w14:textFill>
            <w14:solidFill>
              <w14:schemeClr w14:val="tx1"/>
            </w14:solidFill>
          </w14:textFill>
        </w:rPr>
        <w:t>并应符合下列要求：</w:t>
      </w:r>
      <w:r>
        <w:rPr>
          <w:rFonts w:ascii="宋体" w:hAnsi="宋体" w:eastAsia="宋体"/>
          <w:color w:val="000000" w:themeColor="text1"/>
          <w14:textFill>
            <w14:solidFill>
              <w14:schemeClr w14:val="tx1"/>
            </w14:solidFill>
          </w14:textFill>
        </w:rPr>
        <w:t xml:space="preserve"> </w:t>
      </w:r>
    </w:p>
    <w:p w14:paraId="44161FC5">
      <w:pPr>
        <w:pStyle w:val="12"/>
        <w:numPr>
          <w:ilvl w:val="0"/>
          <w:numId w:val="33"/>
        </w:numPr>
        <w:spacing w:before="0" w:beforeAutospacing="0" w:after="0" w:afterAutospacing="0" w:line="240" w:lineRule="auto"/>
        <w:rPr>
          <w:color w:val="000000" w:themeColor="text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脆弱性识别应从技术管理脆弱性和组织管理脆弱性两个方面进行，技术管理脆弱性涉及物理层、网络层、系统层、应用层等的安全问题。组织管理方面的脆弱性主要通过访谈和调查问卷来识别。对以往安全事件的统计和分析是确定脆弱性的重要方法。</w:t>
      </w:r>
    </w:p>
    <w:p w14:paraId="2D52732C">
      <w:pPr>
        <w:pStyle w:val="12"/>
        <w:numPr>
          <w:ilvl w:val="0"/>
          <w:numId w:val="33"/>
        </w:numPr>
        <w:spacing w:before="0" w:beforeAutospacing="0" w:after="0" w:afterAutospacing="0" w:line="240" w:lineRule="auto"/>
        <w:rPr>
          <w:color w:val="000000" w:themeColor="text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脆弱性赋值应包含严重程度和对系统安全属性的影响两部分内容,即确定脆弱性对城乡水务信息系统资产的暴露程度(包括被威胁利用的可能性和难易程度)和脆弱性对安全属性的哪方面产生了破坏</w:t>
      </w:r>
      <w:r>
        <w:rPr>
          <w:rFonts w:cs="Times New Roman"/>
          <w:color w:val="000000" w:themeColor="text1"/>
          <w:sz w:val="21"/>
          <w:szCs w:val="21"/>
          <w14:textFill>
            <w14:solidFill>
              <w14:schemeClr w14:val="tx1"/>
            </w14:solidFill>
          </w14:textFill>
        </w:rPr>
        <w:t>，</w:t>
      </w:r>
      <w:r>
        <w:rPr>
          <w:rFonts w:hint="eastAsia" w:cs="Times New Roman"/>
          <w:color w:val="000000" w:themeColor="text1"/>
          <w:sz w:val="21"/>
          <w:szCs w:val="21"/>
          <w14:textFill>
            <w14:solidFill>
              <w14:schemeClr w14:val="tx1"/>
            </w14:solidFill>
          </w14:textFill>
        </w:rPr>
        <w:t>脆弱性等级和赋值应符合表</w:t>
      </w:r>
      <w:r>
        <w:rPr>
          <w:rFonts w:cs="Times New Roman"/>
          <w:color w:val="000000" w:themeColor="text1"/>
          <w:sz w:val="21"/>
          <w:szCs w:val="21"/>
          <w14:textFill>
            <w14:solidFill>
              <w14:schemeClr w14:val="tx1"/>
            </w14:solidFill>
          </w14:textFill>
        </w:rPr>
        <w:t>5</w:t>
      </w:r>
      <w:r>
        <w:rPr>
          <w:rFonts w:hint="eastAsia" w:cs="Times New Roman"/>
          <w:color w:val="000000" w:themeColor="text1"/>
          <w:sz w:val="21"/>
          <w:szCs w:val="21"/>
          <w14:textFill>
            <w14:solidFill>
              <w14:schemeClr w14:val="tx1"/>
            </w14:solidFill>
          </w14:textFill>
        </w:rPr>
        <w:t>的要求。</w:t>
      </w:r>
    </w:p>
    <w:p w14:paraId="4F192D82">
      <w:pPr>
        <w:pStyle w:val="3"/>
        <w:spacing w:line="240" w:lineRule="auto"/>
        <w:jc w:val="center"/>
        <w:rPr>
          <w:rFonts w:ascii="黑体" w:hAnsi="黑体"/>
          <w:color w:val="000000" w:themeColor="text1"/>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 xml:space="preserve">表 </w:t>
      </w:r>
      <w:r>
        <w:rPr>
          <w:rFonts w:ascii="黑体" w:hAnsi="黑体"/>
          <w:color w:val="000000" w:themeColor="text1"/>
          <w:sz w:val="21"/>
          <w:szCs w:val="21"/>
          <w14:textFill>
            <w14:solidFill>
              <w14:schemeClr w14:val="tx1"/>
            </w14:solidFill>
          </w14:textFill>
        </w:rPr>
        <w:t xml:space="preserve">5 </w:t>
      </w:r>
      <w:r>
        <w:rPr>
          <w:rFonts w:hint="eastAsia" w:ascii="黑体" w:hAnsi="黑体"/>
          <w:color w:val="000000" w:themeColor="text1"/>
          <w:sz w:val="21"/>
          <w:szCs w:val="21"/>
          <w14:textFill>
            <w14:solidFill>
              <w14:schemeClr w14:val="tx1"/>
            </w14:solidFill>
          </w14:textFill>
        </w:rPr>
        <w:t>脆弱性等级和赋值</w:t>
      </w:r>
    </w:p>
    <w:tbl>
      <w:tblPr>
        <w:tblStyle w:val="1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641"/>
        <w:gridCol w:w="5100"/>
      </w:tblGrid>
      <w:tr w14:paraId="3CC9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13F3BBDB">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脆弱性等级</w:t>
            </w:r>
          </w:p>
        </w:tc>
        <w:tc>
          <w:tcPr>
            <w:tcW w:w="1641" w:type="dxa"/>
            <w:vAlign w:val="center"/>
          </w:tcPr>
          <w:p w14:paraId="087A7C0E">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脆弱性赋值</w:t>
            </w:r>
          </w:p>
        </w:tc>
        <w:tc>
          <w:tcPr>
            <w:tcW w:w="5100" w:type="dxa"/>
            <w:vAlign w:val="center"/>
          </w:tcPr>
          <w:p w14:paraId="5DF5E11A">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定义</w:t>
            </w:r>
          </w:p>
        </w:tc>
      </w:tr>
      <w:tr w14:paraId="6468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1B890D79">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很高</w:t>
            </w:r>
          </w:p>
        </w:tc>
        <w:tc>
          <w:tcPr>
            <w:tcW w:w="1641" w:type="dxa"/>
            <w:vAlign w:val="center"/>
          </w:tcPr>
          <w:p w14:paraId="73D6AD86">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5100" w:type="dxa"/>
          </w:tcPr>
          <w:p w14:paraId="0DCBF454">
            <w:pPr>
              <w:pStyle w:val="12"/>
              <w:spacing w:before="0" w:beforeAutospacing="0" w:after="0" w:afterAutospacing="0" w:line="240" w:lineRule="auto"/>
              <w:jc w:val="both"/>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非常脆弱，如果被威胁利用，造成损害的可能性&gt;95%</w:t>
            </w:r>
          </w:p>
        </w:tc>
      </w:tr>
      <w:tr w14:paraId="5070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2ADA9FCA">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高</w:t>
            </w:r>
          </w:p>
        </w:tc>
        <w:tc>
          <w:tcPr>
            <w:tcW w:w="1641" w:type="dxa"/>
            <w:vAlign w:val="center"/>
          </w:tcPr>
          <w:p w14:paraId="2030CC58">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5100" w:type="dxa"/>
          </w:tcPr>
          <w:p w14:paraId="0B1C1C25">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很脆弱，如果被威胁利用，70%</w:t>
            </w:r>
            <w:r>
              <w:rPr>
                <w:rFonts w:hint="eastAsia"/>
                <w:color w:val="000000" w:themeColor="text1"/>
                <w:sz w:val="18"/>
                <w:szCs w:val="18"/>
                <w14:textFill>
                  <w14:solidFill>
                    <w14:schemeClr w14:val="tx1"/>
                  </w14:solidFill>
                </w14:textFill>
              </w:rPr>
              <w:t>&lt;</w:t>
            </w:r>
            <w:r>
              <w:rPr>
                <w:color w:val="000000" w:themeColor="text1"/>
                <w:sz w:val="18"/>
                <w:szCs w:val="18"/>
                <w14:textFill>
                  <w14:solidFill>
                    <w14:schemeClr w14:val="tx1"/>
                  </w14:solidFill>
                </w14:textFill>
              </w:rPr>
              <w:t>造成损害的可能性</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95%</w:t>
            </w:r>
          </w:p>
        </w:tc>
      </w:tr>
      <w:tr w14:paraId="1859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05CDB382">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中</w:t>
            </w:r>
          </w:p>
        </w:tc>
        <w:tc>
          <w:tcPr>
            <w:tcW w:w="1641" w:type="dxa"/>
            <w:vAlign w:val="center"/>
          </w:tcPr>
          <w:p w14:paraId="3F6C467D">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5100" w:type="dxa"/>
          </w:tcPr>
          <w:p w14:paraId="37D8EF18">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脆弱，如果被威胁利用，30%</w:t>
            </w:r>
            <w:r>
              <w:rPr>
                <w:rFonts w:hint="eastAsia"/>
                <w:color w:val="000000" w:themeColor="text1"/>
                <w:sz w:val="18"/>
                <w:szCs w:val="18"/>
                <w14:textFill>
                  <w14:solidFill>
                    <w14:schemeClr w14:val="tx1"/>
                  </w14:solidFill>
                </w14:textFill>
              </w:rPr>
              <w:t>&lt;</w:t>
            </w:r>
            <w:r>
              <w:rPr>
                <w:color w:val="000000" w:themeColor="text1"/>
                <w:sz w:val="18"/>
                <w:szCs w:val="18"/>
                <w14:textFill>
                  <w14:solidFill>
                    <w14:schemeClr w14:val="tx1"/>
                  </w14:solidFill>
                </w14:textFill>
              </w:rPr>
              <w:t>造成损害的可能性≤70%</w:t>
            </w:r>
          </w:p>
        </w:tc>
      </w:tr>
      <w:tr w14:paraId="51B2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33611589">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低</w:t>
            </w:r>
          </w:p>
        </w:tc>
        <w:tc>
          <w:tcPr>
            <w:tcW w:w="1641" w:type="dxa"/>
            <w:vAlign w:val="center"/>
          </w:tcPr>
          <w:p w14:paraId="2E84054F">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5100" w:type="dxa"/>
          </w:tcPr>
          <w:p w14:paraId="19CC67B1">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强度不好，如果被威胁利用，5%</w:t>
            </w:r>
            <w:r>
              <w:rPr>
                <w:rFonts w:hint="eastAsia"/>
                <w:color w:val="000000" w:themeColor="text1"/>
                <w:sz w:val="18"/>
                <w:szCs w:val="18"/>
                <w14:textFill>
                  <w14:solidFill>
                    <w14:schemeClr w14:val="tx1"/>
                  </w14:solidFill>
                </w14:textFill>
              </w:rPr>
              <w:t>&lt;</w:t>
            </w:r>
            <w:r>
              <w:rPr>
                <w:color w:val="000000" w:themeColor="text1"/>
                <w:sz w:val="18"/>
                <w:szCs w:val="18"/>
                <w14:textFill>
                  <w14:solidFill>
                    <w14:schemeClr w14:val="tx1"/>
                  </w14:solidFill>
                </w14:textFill>
              </w:rPr>
              <w:t>造成损害的可能性≤30%</w:t>
            </w:r>
          </w:p>
        </w:tc>
      </w:tr>
      <w:tr w14:paraId="72CD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4E1A6FF2">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很低</w:t>
            </w:r>
          </w:p>
        </w:tc>
        <w:tc>
          <w:tcPr>
            <w:tcW w:w="1641" w:type="dxa"/>
            <w:vAlign w:val="center"/>
          </w:tcPr>
          <w:p w14:paraId="67457D57">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5100" w:type="dxa"/>
          </w:tcPr>
          <w:p w14:paraId="6FE6580E">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强度好，如果被威胁利用，造成损害的可能性≤5%</w:t>
            </w:r>
          </w:p>
        </w:tc>
      </w:tr>
    </w:tbl>
    <w:p w14:paraId="4A933933">
      <w:pPr>
        <w:pStyle w:val="23"/>
        <w:spacing w:before="156" w:after="156"/>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 xml:space="preserve">.2.2.6 </w:t>
      </w:r>
    </w:p>
    <w:p w14:paraId="44ADAF23">
      <w:pPr>
        <w:pStyle w:val="23"/>
        <w:spacing w:before="156" w:after="156"/>
        <w:rPr>
          <w:rFonts w:hAnsi="宋体" w:cs="Arial"/>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风险分析应包括资产、威胁、脆弱性三个基本要素，</w:t>
      </w:r>
      <w:r>
        <w:rPr>
          <w:rFonts w:hint="eastAsia" w:ascii="宋体" w:hAnsi="宋体" w:eastAsia="宋体" w:cs="Arial"/>
          <w:color w:val="000000" w:themeColor="text1"/>
          <w14:textFill>
            <w14:solidFill>
              <w14:schemeClr w14:val="tx1"/>
            </w14:solidFill>
          </w14:textFill>
        </w:rPr>
        <w:t>应按下式进行</w:t>
      </w:r>
      <w:r>
        <w:rPr>
          <w:rFonts w:ascii="宋体" w:hAnsi="宋体" w:eastAsia="宋体" w:cs="Arial"/>
          <w:color w:val="000000" w:themeColor="text1"/>
          <w14:textFill>
            <w14:solidFill>
              <w14:schemeClr w14:val="tx1"/>
            </w14:solidFill>
          </w14:textFill>
        </w:rPr>
        <w:t>风险计算：</w:t>
      </w:r>
    </w:p>
    <w:p w14:paraId="56249EE4">
      <w:pPr>
        <w:pStyle w:val="26"/>
        <w:ind w:firstLine="420"/>
        <w:jc w:val="right"/>
        <w:rPr>
          <w:rFonts w:hAnsi="宋体" w:cs="Arial"/>
          <w:color w:val="000000" w:themeColor="text1"/>
          <w:szCs w:val="21"/>
          <w14:textFill>
            <w14:solidFill>
              <w14:schemeClr w14:val="tx1"/>
            </w14:solidFill>
          </w14:textFill>
        </w:rPr>
      </w:pPr>
      <w:r>
        <w:rPr>
          <w:rFonts w:hAnsi="宋体" w:cs="Arial"/>
          <w:color w:val="000000" w:themeColor="text1"/>
          <w:szCs w:val="21"/>
          <w14:textFill>
            <w14:solidFill>
              <w14:schemeClr w14:val="tx1"/>
            </w14:solidFill>
          </w14:textFill>
        </w:rPr>
        <w:t>风险值</w:t>
      </w:r>
      <w:r>
        <w:rPr>
          <w:rFonts w:hint="eastAsia" w:hAnsi="宋体" w:cs="Arial"/>
          <w:color w:val="000000" w:themeColor="text1"/>
          <w:szCs w:val="21"/>
          <w14:textFill>
            <w14:solidFill>
              <w14:schemeClr w14:val="tx1"/>
            </w14:solidFill>
          </w14:textFill>
        </w:rPr>
        <w:t xml:space="preserve"> </w:t>
      </w:r>
      <w:r>
        <w:rPr>
          <w:rFonts w:hAnsi="宋体" w:cs="Arial"/>
          <w:color w:val="000000" w:themeColor="text1"/>
          <w:szCs w:val="21"/>
          <w14:textFill>
            <w14:solidFill>
              <w14:schemeClr w14:val="tx1"/>
            </w14:solidFill>
          </w14:textFill>
        </w:rPr>
        <w:t>=</w:t>
      </w:r>
      <w:r>
        <w:rPr>
          <w:rFonts w:hint="eastAsia" w:hAnsi="宋体" w:cs="Arial"/>
          <w:color w:val="000000" w:themeColor="text1"/>
          <w:szCs w:val="21"/>
          <w14:textFill>
            <w14:solidFill>
              <w14:schemeClr w14:val="tx1"/>
            </w14:solidFill>
          </w14:textFill>
        </w:rPr>
        <w:t xml:space="preserve"> </w:t>
      </w:r>
      <w:r>
        <w:rPr>
          <w:rFonts w:hAnsi="宋体" w:cs="Arial"/>
          <w:color w:val="000000" w:themeColor="text1"/>
          <w:szCs w:val="21"/>
          <w14:textFill>
            <w14:solidFill>
              <w14:schemeClr w14:val="tx1"/>
            </w14:solidFill>
          </w14:textFill>
        </w:rPr>
        <w:t>R（A，T，V）</w:t>
      </w:r>
      <w:r>
        <w:rPr>
          <w:rFonts w:hint="eastAsia" w:hAnsi="宋体" w:cs="Arial"/>
          <w:color w:val="000000" w:themeColor="text1"/>
          <w:szCs w:val="21"/>
          <w14:textFill>
            <w14:solidFill>
              <w14:schemeClr w14:val="tx1"/>
            </w14:solidFill>
          </w14:textFill>
        </w:rPr>
        <w:t xml:space="preserve"> </w:t>
      </w:r>
      <w:r>
        <w:rPr>
          <w:rFonts w:hAnsi="宋体" w:cs="Arial"/>
          <w:color w:val="000000" w:themeColor="text1"/>
          <w:szCs w:val="21"/>
          <w14:textFill>
            <w14:solidFill>
              <w14:schemeClr w14:val="tx1"/>
            </w14:solidFill>
          </w14:textFill>
        </w:rPr>
        <w:t xml:space="preserve">                          </w:t>
      </w:r>
      <w:r>
        <w:rPr>
          <w:rFonts w:hint="eastAsia" w:hAnsi="宋体" w:cs="Arial"/>
          <w:color w:val="000000" w:themeColor="text1"/>
          <w:szCs w:val="21"/>
          <w14:textFill>
            <w14:solidFill>
              <w14:schemeClr w14:val="tx1"/>
            </w14:solidFill>
          </w14:textFill>
        </w:rPr>
        <w:t>（1）</w:t>
      </w:r>
    </w:p>
    <w:p w14:paraId="55F06E1D">
      <w:pPr>
        <w:pStyle w:val="26"/>
        <w:ind w:firstLine="420"/>
        <w:rPr>
          <w:rFonts w:hAnsi="宋体" w:cs="Arial"/>
          <w:color w:val="000000" w:themeColor="text1"/>
          <w:szCs w:val="21"/>
          <w14:textFill>
            <w14:solidFill>
              <w14:schemeClr w14:val="tx1"/>
            </w14:solidFill>
          </w14:textFill>
        </w:rPr>
      </w:pPr>
      <w:r>
        <w:rPr>
          <w:rFonts w:hint="eastAsia" w:hAnsi="宋体" w:cs="Arial"/>
          <w:color w:val="000000" w:themeColor="text1"/>
          <w:szCs w:val="21"/>
          <w14:textFill>
            <w14:solidFill>
              <w14:schemeClr w14:val="tx1"/>
            </w14:solidFill>
          </w14:textFill>
        </w:rPr>
        <w:t>式中：</w:t>
      </w:r>
    </w:p>
    <w:p w14:paraId="03BD2DD9">
      <w:pPr>
        <w:pStyle w:val="26"/>
        <w:ind w:firstLine="420"/>
        <w:rPr>
          <w:rFonts w:hAnsi="宋体" w:cs="Arial"/>
          <w:color w:val="000000" w:themeColor="text1"/>
          <w:szCs w:val="21"/>
          <w14:textFill>
            <w14:solidFill>
              <w14:schemeClr w14:val="tx1"/>
            </w14:solidFill>
          </w14:textFill>
        </w:rPr>
      </w:pPr>
      <w:r>
        <w:rPr>
          <w:rFonts w:hAnsi="宋体" w:cs="Arial"/>
          <w:color w:val="000000" w:themeColor="text1"/>
          <w:szCs w:val="21"/>
          <w14:textFill>
            <w14:solidFill>
              <w14:schemeClr w14:val="tx1"/>
            </w14:solidFill>
          </w14:textFill>
        </w:rPr>
        <w:t xml:space="preserve">R </w:t>
      </w:r>
      <w:bookmarkStart w:id="218" w:name="OLE_LINK59"/>
      <w:bookmarkStart w:id="219" w:name="OLE_LINK60"/>
      <w:r>
        <w:rPr>
          <w:rFonts w:hint="eastAsia" w:hAnsi="宋体" w:cs="Arial"/>
          <w:color w:val="000000" w:themeColor="text1"/>
          <w:szCs w:val="21"/>
          <w14:textFill>
            <w14:solidFill>
              <w14:schemeClr w14:val="tx1"/>
            </w14:solidFill>
          </w14:textFill>
        </w:rPr>
        <w:t>—</w:t>
      </w:r>
      <w:bookmarkEnd w:id="218"/>
      <w:bookmarkEnd w:id="219"/>
      <w:r>
        <w:rPr>
          <w:rFonts w:hAnsi="宋体" w:cs="Arial"/>
          <w:color w:val="000000" w:themeColor="text1"/>
          <w:szCs w:val="21"/>
          <w14:textFill>
            <w14:solidFill>
              <w14:schemeClr w14:val="tx1"/>
            </w14:solidFill>
          </w14:textFill>
        </w:rPr>
        <w:t>安全风险计算函数；</w:t>
      </w:r>
    </w:p>
    <w:p w14:paraId="0B94931C">
      <w:pPr>
        <w:pStyle w:val="26"/>
        <w:ind w:firstLine="420"/>
        <w:rPr>
          <w:rFonts w:hAnsi="宋体" w:cs="Arial"/>
          <w:color w:val="000000" w:themeColor="text1"/>
          <w:szCs w:val="21"/>
          <w14:textFill>
            <w14:solidFill>
              <w14:schemeClr w14:val="tx1"/>
            </w14:solidFill>
          </w14:textFill>
        </w:rPr>
      </w:pPr>
      <w:r>
        <w:rPr>
          <w:rFonts w:hAnsi="宋体" w:cs="Arial"/>
          <w:color w:val="000000" w:themeColor="text1"/>
          <w:szCs w:val="21"/>
          <w14:textFill>
            <w14:solidFill>
              <w14:schemeClr w14:val="tx1"/>
            </w14:solidFill>
          </w14:textFill>
        </w:rPr>
        <w:t>A</w:t>
      </w:r>
      <w:r>
        <w:rPr>
          <w:rFonts w:hint="eastAsia" w:hAnsi="宋体" w:cs="Arial"/>
          <w:color w:val="000000" w:themeColor="text1"/>
          <w:szCs w:val="21"/>
          <w14:textFill>
            <w14:solidFill>
              <w14:schemeClr w14:val="tx1"/>
            </w14:solidFill>
          </w14:textFill>
        </w:rPr>
        <w:t>—</w:t>
      </w:r>
      <w:r>
        <w:rPr>
          <w:rFonts w:hAnsi="宋体" w:cs="Arial"/>
          <w:color w:val="000000" w:themeColor="text1"/>
          <w:szCs w:val="21"/>
          <w14:textFill>
            <w14:solidFill>
              <w14:schemeClr w14:val="tx1"/>
            </w14:solidFill>
          </w14:textFill>
        </w:rPr>
        <w:t>资产；</w:t>
      </w:r>
    </w:p>
    <w:p w14:paraId="5DDC5244">
      <w:pPr>
        <w:pStyle w:val="26"/>
        <w:ind w:firstLine="420"/>
        <w:rPr>
          <w:rFonts w:hAnsi="宋体" w:cs="Arial"/>
          <w:color w:val="000000" w:themeColor="text1"/>
          <w:szCs w:val="21"/>
          <w14:textFill>
            <w14:solidFill>
              <w14:schemeClr w14:val="tx1"/>
            </w14:solidFill>
          </w14:textFill>
        </w:rPr>
      </w:pPr>
      <w:r>
        <w:rPr>
          <w:rFonts w:hAnsi="宋体" w:cs="Arial"/>
          <w:color w:val="000000" w:themeColor="text1"/>
          <w:szCs w:val="21"/>
          <w14:textFill>
            <w14:solidFill>
              <w14:schemeClr w14:val="tx1"/>
            </w14:solidFill>
          </w14:textFill>
        </w:rPr>
        <w:t>T</w:t>
      </w:r>
      <w:r>
        <w:rPr>
          <w:rFonts w:hint="eastAsia" w:hAnsi="宋体" w:cs="Arial"/>
          <w:color w:val="000000" w:themeColor="text1"/>
          <w:szCs w:val="21"/>
          <w14:textFill>
            <w14:solidFill>
              <w14:schemeClr w14:val="tx1"/>
            </w14:solidFill>
          </w14:textFill>
        </w:rPr>
        <w:t>—</w:t>
      </w:r>
      <w:r>
        <w:rPr>
          <w:rFonts w:hAnsi="宋体" w:cs="Arial"/>
          <w:color w:val="000000" w:themeColor="text1"/>
          <w:szCs w:val="21"/>
          <w14:textFill>
            <w14:solidFill>
              <w14:schemeClr w14:val="tx1"/>
            </w14:solidFill>
          </w14:textFill>
        </w:rPr>
        <w:t>威胁；</w:t>
      </w:r>
    </w:p>
    <w:p w14:paraId="684CE446">
      <w:pPr>
        <w:pStyle w:val="26"/>
        <w:ind w:firstLine="420"/>
        <w:rPr>
          <w:rFonts w:hAnsi="宋体" w:cs="Arial"/>
          <w:color w:val="000000" w:themeColor="text1"/>
          <w:szCs w:val="21"/>
          <w14:textFill>
            <w14:solidFill>
              <w14:schemeClr w14:val="tx1"/>
            </w14:solidFill>
          </w14:textFill>
        </w:rPr>
      </w:pPr>
      <w:r>
        <w:rPr>
          <w:rFonts w:hAnsi="宋体" w:cs="Arial"/>
          <w:color w:val="000000" w:themeColor="text1"/>
          <w:szCs w:val="21"/>
          <w14:textFill>
            <w14:solidFill>
              <w14:schemeClr w14:val="tx1"/>
            </w14:solidFill>
          </w14:textFill>
        </w:rPr>
        <w:t>V</w:t>
      </w:r>
      <w:r>
        <w:rPr>
          <w:rFonts w:hint="eastAsia" w:hAnsi="宋体" w:cs="Arial"/>
          <w:color w:val="000000" w:themeColor="text1"/>
          <w:szCs w:val="21"/>
          <w14:textFill>
            <w14:solidFill>
              <w14:schemeClr w14:val="tx1"/>
            </w14:solidFill>
          </w14:textFill>
        </w:rPr>
        <w:t>—</w:t>
      </w:r>
      <w:r>
        <w:rPr>
          <w:rFonts w:hAnsi="宋体" w:cs="Arial"/>
          <w:color w:val="000000" w:themeColor="text1"/>
          <w:szCs w:val="21"/>
          <w14:textFill>
            <w14:solidFill>
              <w14:schemeClr w14:val="tx1"/>
            </w14:solidFill>
          </w14:textFill>
        </w:rPr>
        <w:t>脆弱</w:t>
      </w:r>
      <w:r>
        <w:rPr>
          <w:rFonts w:hint="eastAsia" w:hAnsi="宋体" w:cs="Arial"/>
          <w:color w:val="000000" w:themeColor="text1"/>
          <w:szCs w:val="21"/>
          <w14:textFill>
            <w14:solidFill>
              <w14:schemeClr w14:val="tx1"/>
            </w14:solidFill>
          </w14:textFill>
        </w:rPr>
        <w:t>性。</w:t>
      </w:r>
    </w:p>
    <w:p w14:paraId="68DE4F02">
      <w:pPr>
        <w:pStyle w:val="26"/>
        <w:ind w:firstLine="420"/>
        <w:rPr>
          <w:rFonts w:hAnsi="宋体" w:cs="Arial"/>
          <w:color w:val="000000" w:themeColor="text1"/>
          <w:szCs w:val="21"/>
          <w14:textFill>
            <w14:solidFill>
              <w14:schemeClr w14:val="tx1"/>
            </w14:solidFill>
          </w14:textFill>
        </w:rPr>
      </w:pPr>
      <w:r>
        <w:rPr>
          <w:rFonts w:hint="eastAsia" w:hAnsi="宋体" w:cs="Arial"/>
          <w:color w:val="000000" w:themeColor="text1"/>
          <w:szCs w:val="21"/>
          <w14:textFill>
            <w14:solidFill>
              <w14:schemeClr w14:val="tx1"/>
            </w14:solidFill>
          </w14:textFill>
        </w:rPr>
        <w:t>评估者可根据自身情况选择相应的风险计算方法计算风险值，如矩阵法或相乘法。</w:t>
      </w:r>
    </w:p>
    <w:p w14:paraId="4CE4C4E5">
      <w:pPr>
        <w:pStyle w:val="23"/>
        <w:spacing w:before="156" w:after="156"/>
        <w:rPr>
          <w:rFonts w:hAnsi="宋体" w:cs="Arial"/>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 xml:space="preserve">.2.2.7 </w:t>
      </w:r>
      <w:r>
        <w:rPr>
          <w:rFonts w:ascii="宋体" w:hAnsi="宋体" w:eastAsia="宋体" w:cs="Arial"/>
          <w:color w:val="000000" w:themeColor="text1"/>
          <w14:textFill>
            <w14:solidFill>
              <w14:schemeClr w14:val="tx1"/>
            </w14:solidFill>
          </w14:textFill>
        </w:rPr>
        <w:t>为实现对风险的控制与管理，可对风险评估的结果进行等级化处理。可将风险划分为五级，等级越高，风险越高</w:t>
      </w:r>
      <w:r>
        <w:rPr>
          <w:rFonts w:hint="eastAsia" w:ascii="宋体" w:hAnsi="宋体" w:eastAsia="宋体" w:cs="Arial"/>
          <w:color w:val="000000" w:themeColor="text1"/>
          <w14:textFill>
            <w14:solidFill>
              <w14:schemeClr w14:val="tx1"/>
            </w14:solidFill>
          </w14:textFill>
        </w:rPr>
        <w:t>，风险等级划分方法见表</w:t>
      </w:r>
      <w:r>
        <w:rPr>
          <w:rFonts w:ascii="宋体" w:hAnsi="宋体" w:eastAsia="宋体" w:cs="Arial"/>
          <w:color w:val="000000" w:themeColor="text1"/>
          <w14:textFill>
            <w14:solidFill>
              <w14:schemeClr w14:val="tx1"/>
            </w14:solidFill>
          </w14:textFill>
        </w:rPr>
        <w:t>6</w:t>
      </w:r>
      <w:r>
        <w:rPr>
          <w:rFonts w:hint="eastAsia" w:ascii="宋体" w:hAnsi="宋体" w:eastAsia="宋体" w:cs="Arial"/>
          <w:color w:val="000000" w:themeColor="text1"/>
          <w14:textFill>
            <w14:solidFill>
              <w14:schemeClr w14:val="tx1"/>
            </w14:solidFill>
          </w14:textFill>
        </w:rPr>
        <w:t>，风险控制措施见表</w:t>
      </w:r>
      <w:r>
        <w:rPr>
          <w:rFonts w:ascii="宋体" w:hAnsi="宋体" w:eastAsia="宋体" w:cs="Arial"/>
          <w:color w:val="000000" w:themeColor="text1"/>
          <w14:textFill>
            <w14:solidFill>
              <w14:schemeClr w14:val="tx1"/>
            </w14:solidFill>
          </w14:textFill>
        </w:rPr>
        <w:t>7</w:t>
      </w:r>
      <w:r>
        <w:rPr>
          <w:rFonts w:hint="eastAsia" w:ascii="宋体" w:hAnsi="宋体" w:eastAsia="宋体" w:cs="Arial"/>
          <w:color w:val="000000" w:themeColor="text1"/>
          <w14:textFill>
            <w14:solidFill>
              <w14:schemeClr w14:val="tx1"/>
            </w14:solidFill>
          </w14:textFill>
        </w:rPr>
        <w:t>。</w:t>
      </w:r>
    </w:p>
    <w:p w14:paraId="7F626CAA">
      <w:pPr>
        <w:pStyle w:val="3"/>
        <w:spacing w:line="240" w:lineRule="auto"/>
        <w:jc w:val="center"/>
        <w:rPr>
          <w:rFonts w:ascii="黑体" w:hAnsi="黑体"/>
          <w:color w:val="000000" w:themeColor="text1"/>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表</w:t>
      </w:r>
      <w:r>
        <w:rPr>
          <w:rFonts w:ascii="黑体" w:hAnsi="黑体"/>
          <w:color w:val="000000" w:themeColor="text1"/>
          <w:sz w:val="21"/>
          <w:szCs w:val="21"/>
          <w14:textFill>
            <w14:solidFill>
              <w14:schemeClr w14:val="tx1"/>
            </w14:solidFill>
          </w14:textFill>
        </w:rPr>
        <w:t xml:space="preserve">6 </w:t>
      </w:r>
      <w:bookmarkStart w:id="220" w:name="OLE_LINK61"/>
      <w:bookmarkStart w:id="221" w:name="OLE_LINK62"/>
      <w:r>
        <w:rPr>
          <w:rFonts w:hint="eastAsia" w:ascii="黑体" w:hAnsi="黑体"/>
          <w:color w:val="000000" w:themeColor="text1"/>
          <w:sz w:val="21"/>
          <w:szCs w:val="21"/>
          <w14:textFill>
            <w14:solidFill>
              <w14:schemeClr w14:val="tx1"/>
            </w14:solidFill>
          </w14:textFill>
        </w:rPr>
        <w:t>风险等级划分</w:t>
      </w:r>
      <w:bookmarkEnd w:id="220"/>
      <w:bookmarkEnd w:id="221"/>
    </w:p>
    <w:tbl>
      <w:tblPr>
        <w:tblStyle w:val="1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4"/>
        <w:gridCol w:w="1600"/>
        <w:gridCol w:w="4817"/>
      </w:tblGrid>
      <w:tr w14:paraId="0F3C1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4" w:type="dxa"/>
            <w:vAlign w:val="center"/>
          </w:tcPr>
          <w:p w14:paraId="7DEFB00A">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风险等级</w:t>
            </w:r>
          </w:p>
        </w:tc>
        <w:tc>
          <w:tcPr>
            <w:tcW w:w="1600" w:type="dxa"/>
            <w:vAlign w:val="center"/>
          </w:tcPr>
          <w:p w14:paraId="6F415A41">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风险等级赋值</w:t>
            </w:r>
          </w:p>
        </w:tc>
        <w:tc>
          <w:tcPr>
            <w:tcW w:w="4817" w:type="dxa"/>
            <w:vAlign w:val="center"/>
          </w:tcPr>
          <w:p w14:paraId="39305BBC">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描述</w:t>
            </w:r>
          </w:p>
        </w:tc>
      </w:tr>
      <w:tr w14:paraId="2DF1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4" w:type="dxa"/>
            <w:vAlign w:val="center"/>
          </w:tcPr>
          <w:p w14:paraId="0FA4AA26">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很高</w:t>
            </w:r>
          </w:p>
        </w:tc>
        <w:tc>
          <w:tcPr>
            <w:tcW w:w="1600" w:type="dxa"/>
            <w:vAlign w:val="center"/>
          </w:tcPr>
          <w:p w14:paraId="3B20263B">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4817" w:type="dxa"/>
          </w:tcPr>
          <w:p w14:paraId="5B6788A3">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一旦发生将产生非常严重的经济或社会影响，如组织信誉严重破坏、严重影响组织的正常经营，经济损失重大、社会影响恶劣</w:t>
            </w:r>
          </w:p>
        </w:tc>
      </w:tr>
      <w:tr w14:paraId="1F26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4" w:type="dxa"/>
            <w:vAlign w:val="center"/>
          </w:tcPr>
          <w:p w14:paraId="2EA9DD2B">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高</w:t>
            </w:r>
          </w:p>
        </w:tc>
        <w:tc>
          <w:tcPr>
            <w:tcW w:w="1600" w:type="dxa"/>
            <w:vAlign w:val="center"/>
          </w:tcPr>
          <w:p w14:paraId="45969150">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4817" w:type="dxa"/>
          </w:tcPr>
          <w:p w14:paraId="3C5189F9">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一旦发生将产生较大的经济或社会影响，在一定范围内给组织的经营和组织信誉造成损害</w:t>
            </w:r>
          </w:p>
        </w:tc>
      </w:tr>
      <w:tr w14:paraId="480D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4" w:type="dxa"/>
            <w:vAlign w:val="center"/>
          </w:tcPr>
          <w:p w14:paraId="30D72964">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中等</w:t>
            </w:r>
          </w:p>
        </w:tc>
        <w:tc>
          <w:tcPr>
            <w:tcW w:w="1600" w:type="dxa"/>
            <w:vAlign w:val="center"/>
          </w:tcPr>
          <w:p w14:paraId="495BA789">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4817" w:type="dxa"/>
          </w:tcPr>
          <w:p w14:paraId="5C37142D">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一旦发生会造成一定的经济、社会或生产经营影响，但影响面和影响程度不大</w:t>
            </w:r>
          </w:p>
        </w:tc>
      </w:tr>
      <w:tr w14:paraId="67F5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84" w:type="dxa"/>
            <w:vAlign w:val="center"/>
          </w:tcPr>
          <w:p w14:paraId="57886650">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低</w:t>
            </w:r>
          </w:p>
        </w:tc>
        <w:tc>
          <w:tcPr>
            <w:tcW w:w="1600" w:type="dxa"/>
            <w:vAlign w:val="center"/>
          </w:tcPr>
          <w:p w14:paraId="26C9FF21">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4817" w:type="dxa"/>
          </w:tcPr>
          <w:p w14:paraId="2E4D5654">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一旦发生造成的影响程度较低，一般仅限于组织内部，通过一定手段很快能解决</w:t>
            </w:r>
          </w:p>
        </w:tc>
      </w:tr>
      <w:tr w14:paraId="45E7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4" w:type="dxa"/>
            <w:vAlign w:val="center"/>
          </w:tcPr>
          <w:p w14:paraId="53ADD314">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很低</w:t>
            </w:r>
          </w:p>
        </w:tc>
        <w:tc>
          <w:tcPr>
            <w:tcW w:w="1600" w:type="dxa"/>
            <w:vAlign w:val="center"/>
          </w:tcPr>
          <w:p w14:paraId="4E879370">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4817" w:type="dxa"/>
          </w:tcPr>
          <w:p w14:paraId="422FFC1D">
            <w:pPr>
              <w:pStyle w:val="12"/>
              <w:spacing w:before="0" w:beforeAutospacing="0" w:after="0" w:afterAutospacing="0" w:line="240" w:lineRule="auto"/>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一旦发生造成的影响几乎不存在，通过简单的措施就能弥补</w:t>
            </w:r>
          </w:p>
        </w:tc>
      </w:tr>
    </w:tbl>
    <w:p w14:paraId="6811A870">
      <w:pPr>
        <w:pStyle w:val="26"/>
        <w:ind w:firstLine="420"/>
        <w:jc w:val="center"/>
        <w:rPr>
          <w:rFonts w:hAnsi="宋体" w:cs="Arial"/>
          <w:color w:val="000000" w:themeColor="text1"/>
          <w:szCs w:val="21"/>
          <w14:textFill>
            <w14:solidFill>
              <w14:schemeClr w14:val="tx1"/>
            </w14:solidFill>
          </w14:textFill>
        </w:rPr>
      </w:pPr>
    </w:p>
    <w:p w14:paraId="774ACFDC">
      <w:pPr>
        <w:pStyle w:val="3"/>
        <w:spacing w:line="240" w:lineRule="auto"/>
        <w:jc w:val="center"/>
        <w:rPr>
          <w:rFonts w:ascii="黑体" w:hAnsi="黑体"/>
          <w:color w:val="000000" w:themeColor="text1"/>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 xml:space="preserve">表 </w:t>
      </w:r>
      <w:r>
        <w:rPr>
          <w:rFonts w:ascii="黑体" w:hAnsi="黑体"/>
          <w:color w:val="000000" w:themeColor="text1"/>
          <w:sz w:val="21"/>
          <w:szCs w:val="21"/>
          <w14:textFill>
            <w14:solidFill>
              <w14:schemeClr w14:val="tx1"/>
            </w14:solidFill>
          </w14:textFill>
        </w:rPr>
        <w:t xml:space="preserve">7 </w:t>
      </w:r>
      <w:bookmarkStart w:id="222" w:name="OLE_LINK63"/>
      <w:bookmarkStart w:id="223" w:name="OLE_LINK64"/>
      <w:r>
        <w:rPr>
          <w:rFonts w:hint="eastAsia" w:ascii="黑体" w:hAnsi="黑体"/>
          <w:color w:val="000000" w:themeColor="text1"/>
          <w:sz w:val="21"/>
          <w:szCs w:val="21"/>
          <w14:textFill>
            <w14:solidFill>
              <w14:schemeClr w14:val="tx1"/>
            </w14:solidFill>
          </w14:textFill>
        </w:rPr>
        <w:t>风险控制措施</w:t>
      </w:r>
    </w:p>
    <w:bookmarkEnd w:id="222"/>
    <w:bookmarkEnd w:id="223"/>
    <w:tbl>
      <w:tblPr>
        <w:tblStyle w:val="1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6033"/>
      </w:tblGrid>
      <w:tr w14:paraId="248B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C1522BC">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风险等级</w:t>
            </w:r>
          </w:p>
        </w:tc>
        <w:tc>
          <w:tcPr>
            <w:tcW w:w="1134" w:type="dxa"/>
            <w:vAlign w:val="center"/>
          </w:tcPr>
          <w:p w14:paraId="21E24ADC">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风险值</w:t>
            </w:r>
          </w:p>
        </w:tc>
        <w:tc>
          <w:tcPr>
            <w:tcW w:w="6033" w:type="dxa"/>
            <w:vAlign w:val="center"/>
          </w:tcPr>
          <w:p w14:paraId="015E951F">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风险控制措施</w:t>
            </w:r>
          </w:p>
        </w:tc>
      </w:tr>
      <w:tr w14:paraId="536D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2E47AB4">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134" w:type="dxa"/>
            <w:vAlign w:val="center"/>
          </w:tcPr>
          <w:p w14:paraId="6243FEFA">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1-100</w:t>
            </w:r>
          </w:p>
        </w:tc>
        <w:tc>
          <w:tcPr>
            <w:tcW w:w="6033" w:type="dxa"/>
          </w:tcPr>
          <w:p w14:paraId="6599AC20">
            <w:pPr>
              <w:pStyle w:val="12"/>
              <w:spacing w:before="0" w:beforeAutospacing="0" w:after="0" w:afterAutospacing="0" w:line="240" w:lineRule="auto"/>
              <w:jc w:val="both"/>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无强制要求需进行保护措施</w:t>
            </w:r>
          </w:p>
        </w:tc>
      </w:tr>
      <w:tr w14:paraId="0A30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E89AE4F">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134" w:type="dxa"/>
            <w:vAlign w:val="center"/>
          </w:tcPr>
          <w:p w14:paraId="22F0C20D">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101-200</w:t>
            </w:r>
          </w:p>
        </w:tc>
        <w:tc>
          <w:tcPr>
            <w:tcW w:w="6033" w:type="dxa"/>
          </w:tcPr>
          <w:p w14:paraId="09512CCA">
            <w:pPr>
              <w:pStyle w:val="12"/>
              <w:spacing w:before="0" w:beforeAutospacing="0" w:after="0" w:afterAutospacing="0" w:line="240" w:lineRule="auto"/>
              <w:jc w:val="both"/>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无强制要求需进行保护措施，但是需要关注</w:t>
            </w:r>
          </w:p>
        </w:tc>
      </w:tr>
      <w:tr w14:paraId="69E2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E8EF98C">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134" w:type="dxa"/>
            <w:vAlign w:val="center"/>
          </w:tcPr>
          <w:p w14:paraId="7E0856A8">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201-300</w:t>
            </w:r>
          </w:p>
        </w:tc>
        <w:tc>
          <w:tcPr>
            <w:tcW w:w="6033" w:type="dxa"/>
          </w:tcPr>
          <w:p w14:paraId="20F17354">
            <w:pPr>
              <w:pStyle w:val="12"/>
              <w:spacing w:before="0" w:beforeAutospacing="0" w:after="0" w:afterAutospacing="0" w:line="240" w:lineRule="auto"/>
              <w:jc w:val="both"/>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必须进行保护措施。保护方案须在风险评定后的</w:t>
            </w:r>
            <w:r>
              <w:rPr>
                <w:color w:val="000000" w:themeColor="text1"/>
                <w:sz w:val="18"/>
                <w:szCs w:val="18"/>
                <w14:textFill>
                  <w14:solidFill>
                    <w14:schemeClr w14:val="tx1"/>
                  </w14:solidFill>
                </w14:textFill>
              </w:rPr>
              <w:t>1月</w:t>
            </w:r>
            <w:r>
              <w:rPr>
                <w:rFonts w:hint="eastAsia"/>
                <w:color w:val="000000" w:themeColor="text1"/>
                <w:sz w:val="18"/>
                <w:szCs w:val="18"/>
                <w14:textFill>
                  <w14:solidFill>
                    <w14:schemeClr w14:val="tx1"/>
                  </w14:solidFill>
                </w14:textFill>
              </w:rPr>
              <w:t>内完成，之后进行风险再次评估</w:t>
            </w:r>
          </w:p>
        </w:tc>
      </w:tr>
      <w:tr w14:paraId="5829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308970C">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134" w:type="dxa"/>
            <w:vAlign w:val="center"/>
          </w:tcPr>
          <w:p w14:paraId="1B977390">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301-400</w:t>
            </w:r>
          </w:p>
        </w:tc>
        <w:tc>
          <w:tcPr>
            <w:tcW w:w="6033" w:type="dxa"/>
          </w:tcPr>
          <w:p w14:paraId="1C392ABD">
            <w:pPr>
              <w:pStyle w:val="12"/>
              <w:spacing w:before="0" w:beforeAutospacing="0" w:after="0" w:afterAutospacing="0" w:line="240" w:lineRule="auto"/>
              <w:jc w:val="both"/>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必须进行保护措施。保护方案须在风险评定后的</w:t>
            </w: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周内完成，之后进行风险再次评估</w:t>
            </w:r>
          </w:p>
        </w:tc>
      </w:tr>
      <w:tr w14:paraId="39567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5DA94B1">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134" w:type="dxa"/>
            <w:vAlign w:val="center"/>
          </w:tcPr>
          <w:p w14:paraId="6D87312D">
            <w:pPr>
              <w:pStyle w:val="12"/>
              <w:spacing w:before="0" w:beforeAutospacing="0" w:after="0" w:afterAutospacing="0" w:line="24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401-500</w:t>
            </w:r>
          </w:p>
        </w:tc>
        <w:tc>
          <w:tcPr>
            <w:tcW w:w="6033" w:type="dxa"/>
          </w:tcPr>
          <w:p w14:paraId="7676743F">
            <w:pPr>
              <w:pStyle w:val="12"/>
              <w:spacing w:before="0" w:beforeAutospacing="0" w:after="0" w:afterAutospacing="0" w:line="240" w:lineRule="auto"/>
              <w:jc w:val="both"/>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必须立即进行保护措施，之后进行风险再次评估</w:t>
            </w:r>
          </w:p>
        </w:tc>
      </w:tr>
    </w:tbl>
    <w:p w14:paraId="459793A9">
      <w:pPr>
        <w:pStyle w:val="26"/>
        <w:ind w:firstLine="420"/>
        <w:rPr>
          <w:rFonts w:hAnsi="宋体"/>
          <w:color w:val="000000" w:themeColor="text1"/>
          <w:szCs w:val="21"/>
          <w14:textFill>
            <w14:solidFill>
              <w14:schemeClr w14:val="tx1"/>
            </w14:solidFill>
          </w14:textFill>
        </w:rPr>
      </w:pPr>
      <w:bookmarkStart w:id="224" w:name="_Toc177137473"/>
    </w:p>
    <w:p w14:paraId="63088E2A">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225" w:name="_Toc256543967"/>
      <w:bookmarkStart w:id="226" w:name="_Toc207032562"/>
      <w:r>
        <w:rPr>
          <w:rFonts w:ascii="黑体" w:hAnsi="黑体" w:eastAsia="黑体"/>
          <w:color w:val="000000" w:themeColor="text1"/>
          <w:szCs w:val="21"/>
          <w14:textFill>
            <w14:solidFill>
              <w14:schemeClr w14:val="tx1"/>
            </w14:solidFill>
          </w14:textFill>
        </w:rPr>
        <w:t>7</w:t>
      </w:r>
      <w:r>
        <w:rPr>
          <w:rFonts w:hint="eastAsia" w:ascii="黑体" w:hAnsi="黑体" w:eastAsia="黑体"/>
          <w:color w:val="000000" w:themeColor="text1"/>
          <w:szCs w:val="21"/>
          <w14:textFill>
            <w14:solidFill>
              <w14:schemeClr w14:val="tx1"/>
            </w14:solidFill>
          </w14:textFill>
        </w:rPr>
        <w:t>.2.3安全审计与评估实施</w:t>
      </w:r>
      <w:bookmarkEnd w:id="224"/>
      <w:bookmarkEnd w:id="225"/>
      <w:bookmarkEnd w:id="226"/>
    </w:p>
    <w:p w14:paraId="5A42BDF1">
      <w:pPr>
        <w:pStyle w:val="23"/>
        <w:spacing w:before="156" w:after="156"/>
        <w:rPr>
          <w:color w:val="000000" w:themeColor="text1"/>
          <w14:textFill>
            <w14:solidFill>
              <w14:schemeClr w14:val="tx1"/>
            </w14:solidFill>
          </w14:textFill>
        </w:rPr>
      </w:pPr>
      <w:r>
        <w:rPr>
          <w:rFonts w:hAnsi="宋体"/>
          <w:color w:val="000000" w:themeColor="text1"/>
          <w14:textFill>
            <w14:solidFill>
              <w14:schemeClr w14:val="tx1"/>
            </w14:solidFill>
          </w14:textFill>
        </w:rPr>
        <w:t>7</w:t>
      </w:r>
      <w:r>
        <w:rPr>
          <w:rFonts w:hint="eastAsia" w:hAnsi="宋体"/>
          <w:color w:val="000000" w:themeColor="text1"/>
          <w14:textFill>
            <w14:solidFill>
              <w14:schemeClr w14:val="tx1"/>
            </w14:solidFill>
          </w14:textFill>
        </w:rPr>
        <w:t>.2.3.1 实施流程</w:t>
      </w:r>
    </w:p>
    <w:p w14:paraId="4D7DBAD7">
      <w:pPr>
        <w:pStyle w:val="26"/>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城乡水务信息系统的信息安全审计和评估实施流程见图</w:t>
      </w:r>
      <w:r>
        <w:rPr>
          <w:rFonts w:hAnsi="宋体"/>
          <w:color w:val="000000" w:themeColor="text1"/>
          <w:szCs w:val="21"/>
          <w14:textFill>
            <w14:solidFill>
              <w14:schemeClr w14:val="tx1"/>
            </w14:solidFill>
          </w14:textFill>
        </w:rPr>
        <w:t>2</w:t>
      </w:r>
      <w:r>
        <w:rPr>
          <w:rFonts w:hint="eastAsia" w:hAnsi="宋体"/>
          <w:color w:val="000000" w:themeColor="text1"/>
          <w:szCs w:val="21"/>
          <w14:textFill>
            <w14:solidFill>
              <w14:schemeClr w14:val="tx1"/>
            </w14:solidFill>
          </w14:textFill>
        </w:rPr>
        <w:t>。</w:t>
      </w:r>
    </w:p>
    <w:p w14:paraId="6B75A058">
      <w:pPr>
        <w:pStyle w:val="26"/>
        <w:spacing w:before="156" w:after="156"/>
        <w:ind w:firstLine="0" w:firstLineChars="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object>
          <v:shape id="_x0000_i1025" o:spt="75" type="#_x0000_t75" style="height:257.5pt;width:414.5pt;" o:ole="t" filled="f" o:preferrelative="t" stroked="f" coordsize="21600,21600">
            <v:path/>
            <v:fill on="f" focussize="0,0"/>
            <v:stroke on="f" joinstyle="miter"/>
            <v:imagedata r:id="rId16" o:title=""/>
            <o:lock v:ext="edit" aspectratio="f"/>
            <w10:wrap type="none"/>
            <w10:anchorlock/>
          </v:shape>
          <o:OLEObject Type="Embed" ProgID="Visio.Drawing.15" ShapeID="_x0000_i1025" DrawAspect="Content" ObjectID="_1468075725" r:id="rId15">
            <o:LockedField>false</o:LockedField>
          </o:OLEObject>
        </w:object>
      </w:r>
    </w:p>
    <w:p w14:paraId="1A9552CC">
      <w:pPr>
        <w:pStyle w:val="3"/>
        <w:spacing w:line="240" w:lineRule="auto"/>
        <w:jc w:val="center"/>
        <w:rPr>
          <w:rFonts w:ascii="黑体" w:hAnsi="黑体"/>
          <w:color w:val="000000" w:themeColor="text1"/>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 xml:space="preserve">图 </w:t>
      </w:r>
      <w:r>
        <w:rPr>
          <w:rFonts w:ascii="黑体" w:hAnsi="黑体"/>
          <w:color w:val="000000" w:themeColor="text1"/>
          <w:sz w:val="21"/>
          <w:szCs w:val="21"/>
          <w14:textFill>
            <w14:solidFill>
              <w14:schemeClr w14:val="tx1"/>
            </w14:solidFill>
          </w14:textFill>
        </w:rPr>
        <w:t>2</w:t>
      </w:r>
      <w:r>
        <w:rPr>
          <w:rFonts w:hint="eastAsia" w:ascii="黑体" w:hAnsi="黑体"/>
          <w:color w:val="000000" w:themeColor="text1"/>
          <w:sz w:val="21"/>
          <w:szCs w:val="21"/>
          <w14:textFill>
            <w14:solidFill>
              <w14:schemeClr w14:val="tx1"/>
            </w14:solidFill>
          </w14:textFill>
        </w:rPr>
        <w:t>信息安全审计和评估实施流程</w:t>
      </w:r>
    </w:p>
    <w:p w14:paraId="6D961547">
      <w:pPr>
        <w:pStyle w:val="23"/>
        <w:spacing w:before="156" w:after="156"/>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.2.3.</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启动准备</w:t>
      </w:r>
    </w:p>
    <w:p w14:paraId="31BB3556">
      <w:pPr>
        <w:pStyle w:val="26"/>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启动准备阶段的工作应包括：</w:t>
      </w:r>
      <w:r>
        <w:rPr>
          <w:rFonts w:hAnsi="宋体"/>
          <w:color w:val="000000" w:themeColor="text1"/>
          <w:szCs w:val="21"/>
          <w14:textFill>
            <w14:solidFill>
              <w14:schemeClr w14:val="tx1"/>
            </w14:solidFill>
          </w14:textFill>
        </w:rPr>
        <w:t xml:space="preserve"> </w:t>
      </w:r>
    </w:p>
    <w:p w14:paraId="75F9F77C">
      <w:pPr>
        <w:pStyle w:val="26"/>
        <w:numPr>
          <w:ilvl w:val="0"/>
          <w:numId w:val="34"/>
        </w:numPr>
        <w:ind w:firstLineChars="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成立评估工作组；</w:t>
      </w:r>
    </w:p>
    <w:p w14:paraId="119848AF">
      <w:pPr>
        <w:pStyle w:val="26"/>
        <w:numPr>
          <w:ilvl w:val="0"/>
          <w:numId w:val="34"/>
        </w:numPr>
        <w:ind w:firstLineChars="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确定评估范围；</w:t>
      </w:r>
    </w:p>
    <w:p w14:paraId="1A292623">
      <w:pPr>
        <w:pStyle w:val="26"/>
        <w:numPr>
          <w:ilvl w:val="0"/>
          <w:numId w:val="34"/>
        </w:numPr>
        <w:ind w:firstLineChars="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评估工具准备；</w:t>
      </w:r>
    </w:p>
    <w:p w14:paraId="37A8C7E9">
      <w:pPr>
        <w:pStyle w:val="26"/>
        <w:numPr>
          <w:ilvl w:val="0"/>
          <w:numId w:val="34"/>
        </w:numPr>
        <w:ind w:firstLineChars="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准备应急措施。</w:t>
      </w:r>
    </w:p>
    <w:p w14:paraId="6109FC26">
      <w:pPr>
        <w:pStyle w:val="23"/>
        <w:spacing w:before="156" w:after="156"/>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.2.3.</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现场实施</w:t>
      </w:r>
    </w:p>
    <w:p w14:paraId="571B3B15">
      <w:pPr>
        <w:pStyle w:val="26"/>
        <w:ind w:firstLine="420"/>
        <w:rPr>
          <w:rFonts w:hAnsi="宋体"/>
          <w:color w:val="000000" w:themeColor="text1"/>
          <w:szCs w:val="21"/>
          <w14:textFill>
            <w14:solidFill>
              <w14:schemeClr w14:val="tx1"/>
            </w14:solidFill>
          </w14:textFill>
        </w:rPr>
      </w:pPr>
      <w:bookmarkStart w:id="227" w:name="OLE_LINK66"/>
      <w:bookmarkStart w:id="228" w:name="OLE_LINK65"/>
      <w:r>
        <w:rPr>
          <w:rFonts w:hint="eastAsia" w:hAnsi="宋体"/>
          <w:color w:val="000000" w:themeColor="text1"/>
          <w:szCs w:val="21"/>
          <w14:textFill>
            <w14:solidFill>
              <w14:schemeClr w14:val="tx1"/>
            </w14:solidFill>
          </w14:textFill>
        </w:rPr>
        <w:t>应针对城乡水务信息系统的运行环境、</w:t>
      </w:r>
      <w:bookmarkEnd w:id="227"/>
      <w:bookmarkEnd w:id="228"/>
      <w:r>
        <w:rPr>
          <w:rFonts w:hint="eastAsia" w:hAnsi="宋体"/>
          <w:color w:val="000000" w:themeColor="text1"/>
          <w:szCs w:val="21"/>
          <w14:textFill>
            <w14:solidFill>
              <w14:schemeClr w14:val="tx1"/>
            </w14:solidFill>
          </w14:textFill>
        </w:rPr>
        <w:t>人力、IT运维、业务运维等多个方面进行现场实施。</w:t>
      </w:r>
    </w:p>
    <w:p w14:paraId="4AB68971">
      <w:pPr>
        <w:pStyle w:val="23"/>
        <w:spacing w:before="156" w:after="156"/>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.2.3.</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安全建议</w:t>
      </w:r>
    </w:p>
    <w:p w14:paraId="57C394B5">
      <w:pPr>
        <w:pStyle w:val="26"/>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应根据风险决策提出的风险处理计划，结合资产面临的威胁和存在的脆弱性，经过合理的统计归纳，形成安全解决方案建议报告。安全建议报告应包含安全建议阶段的所有工作内容，应包括下列内容:</w:t>
      </w:r>
    </w:p>
    <w:p w14:paraId="052CC9BC">
      <w:pPr>
        <w:pStyle w:val="26"/>
        <w:numPr>
          <w:ilvl w:val="0"/>
          <w:numId w:val="3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需求分析:需求分析根据风险分析的结论将城乡水务信息系统的防护需求进行归纳和总结，并根据评估结果进行现状分析、可行性分析和紧迫性分析；</w:t>
      </w:r>
    </w:p>
    <w:p w14:paraId="2243ECF1">
      <w:pPr>
        <w:pStyle w:val="26"/>
        <w:ind w:firstLine="420"/>
        <w:rPr>
          <w:rFonts w:hAnsi="宋体"/>
          <w:color w:val="000000" w:themeColor="text1"/>
          <w:szCs w:val="21"/>
          <w14:textFill>
            <w14:solidFill>
              <w14:schemeClr w14:val="tx1"/>
            </w14:solidFill>
          </w14:textFill>
        </w:rPr>
      </w:pPr>
    </w:p>
    <w:p w14:paraId="22E5A382">
      <w:pPr>
        <w:pStyle w:val="26"/>
        <w:numPr>
          <w:ilvl w:val="0"/>
          <w:numId w:val="3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安全建议:根据需求分析的结论针对不同评估节点提出安全防护措施；</w:t>
      </w:r>
      <w:r>
        <w:rPr>
          <w:rFonts w:hint="eastAsia" w:hAnsi="宋体"/>
          <w:color w:val="000000" w:themeColor="text1"/>
          <w:szCs w:val="21"/>
          <w14:textFill>
            <w14:solidFill>
              <w14:schemeClr w14:val="tx1"/>
            </w14:solidFill>
          </w14:textFill>
        </w:rPr>
        <w:t>评估工作组应对安全建议方案着重讨论,确保安全建议的合理性、可行性；</w:t>
      </w:r>
    </w:p>
    <w:p w14:paraId="5EBE706A">
      <w:pPr>
        <w:pStyle w:val="26"/>
        <w:numPr>
          <w:ilvl w:val="0"/>
          <w:numId w:val="3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实施计划:根据可行性分析和紧迫性分析结论提出安全建议的实施计划。</w:t>
      </w:r>
    </w:p>
    <w:p w14:paraId="49097191">
      <w:pPr>
        <w:pStyle w:val="23"/>
        <w:spacing w:before="156" w:after="156"/>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.2.3.</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安全整改</w:t>
      </w:r>
    </w:p>
    <w:p w14:paraId="0A56A51D">
      <w:pPr>
        <w:pStyle w:val="26"/>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被评估单位应根据安全建议方案制定整改计划、落实整改措施，不断提高城乡水务信息系统的安全防护能力。</w:t>
      </w:r>
    </w:p>
    <w:p w14:paraId="3909106B">
      <w:pPr>
        <w:pStyle w:val="23"/>
        <w:spacing w:before="156" w:after="156"/>
        <w:outlineLvl w:val="1"/>
        <w:rPr>
          <w:color w:val="000000" w:themeColor="text1"/>
          <w14:textFill>
            <w14:solidFill>
              <w14:schemeClr w14:val="tx1"/>
            </w14:solidFill>
          </w14:textFill>
        </w:rPr>
      </w:pPr>
      <w:bookmarkStart w:id="229" w:name="_Toc207032563"/>
      <w:r>
        <w:rPr>
          <w:color w:val="000000" w:themeColor="text1"/>
          <w14:textFill>
            <w14:solidFill>
              <w14:schemeClr w14:val="tx1"/>
            </w14:solidFill>
          </w14:textFill>
        </w:rPr>
        <w:t>7</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w:t>
      </w:r>
      <w:bookmarkStart w:id="230" w:name="OLE_LINK70"/>
      <w:bookmarkStart w:id="231" w:name="OLE_LINK69"/>
      <w:r>
        <w:rPr>
          <w:rFonts w:hint="eastAsia"/>
          <w:color w:val="000000" w:themeColor="text1"/>
          <w14:textFill>
            <w14:solidFill>
              <w14:schemeClr w14:val="tx1"/>
            </w14:solidFill>
          </w14:textFill>
        </w:rPr>
        <w:t>信息安全培训</w:t>
      </w:r>
      <w:bookmarkEnd w:id="229"/>
      <w:bookmarkEnd w:id="230"/>
      <w:bookmarkEnd w:id="231"/>
    </w:p>
    <w:p w14:paraId="2BC7AC45">
      <w:pPr>
        <w:pStyle w:val="26"/>
        <w:tabs>
          <w:tab w:val="left" w:pos="312"/>
        </w:tabs>
        <w:ind w:firstLine="0" w:firstLineChars="0"/>
        <w:rPr>
          <w:rFonts w:hAnsi="宋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7</w:t>
      </w:r>
      <w:r>
        <w:rPr>
          <w:rFonts w:hint="eastAsia" w:ascii="黑体" w:hAnsi="黑体" w:eastAsia="黑体"/>
          <w:color w:val="000000" w:themeColor="text1"/>
          <w:szCs w:val="21"/>
          <w14:textFill>
            <w14:solidFill>
              <w14:schemeClr w14:val="tx1"/>
            </w14:solidFill>
          </w14:textFill>
        </w:rPr>
        <w:t>.3.1</w:t>
      </w:r>
      <w:r>
        <w:rPr>
          <w:rFonts w:hint="eastAsia" w:hAnsi="宋体"/>
          <w:color w:val="000000" w:themeColor="text1"/>
          <w:szCs w:val="21"/>
          <w14:textFill>
            <w14:solidFill>
              <w14:schemeClr w14:val="tx1"/>
            </w14:solidFill>
          </w14:textFill>
        </w:rPr>
        <w:t>信息安全培训制度，应符合下列要求：</w:t>
      </w:r>
    </w:p>
    <w:p w14:paraId="26288CEA">
      <w:pPr>
        <w:pStyle w:val="26"/>
        <w:numPr>
          <w:ilvl w:val="0"/>
          <w:numId w:val="36"/>
        </w:numPr>
        <w:tabs>
          <w:tab w:val="left" w:pos="312"/>
        </w:tabs>
        <w:ind w:left="0"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应</w:t>
      </w:r>
      <w:bookmarkStart w:id="232" w:name="OLE_LINK71"/>
      <w:r>
        <w:rPr>
          <w:rFonts w:hint="eastAsia" w:hAnsi="宋体"/>
          <w:color w:val="000000" w:themeColor="text1"/>
          <w:szCs w:val="21"/>
          <w14:textFill>
            <w14:solidFill>
              <w14:schemeClr w14:val="tx1"/>
            </w14:solidFill>
          </w14:textFill>
        </w:rPr>
        <w:t>将信息安全培训覆盖企业全员，</w:t>
      </w:r>
      <w:r>
        <w:rPr>
          <w:rFonts w:hint="eastAsia"/>
          <w:color w:val="000000" w:themeColor="text1"/>
          <w14:textFill>
            <w14:solidFill>
              <w14:schemeClr w14:val="tx1"/>
            </w14:solidFill>
          </w14:textFill>
        </w:rPr>
        <w:t>水务行业涉及相关系统的系统用户、运维人员以及各级管理人员应当参加定期的信息安全培训，</w:t>
      </w:r>
      <w:r>
        <w:rPr>
          <w:rFonts w:hint="eastAsia" w:hAnsi="宋体"/>
          <w:color w:val="000000" w:themeColor="text1"/>
          <w:szCs w:val="21"/>
          <w14:textFill>
            <w14:solidFill>
              <w14:schemeClr w14:val="tx1"/>
            </w14:solidFill>
          </w14:textFill>
        </w:rPr>
        <w:t>并纳入新员工</w:t>
      </w:r>
      <w:bookmarkEnd w:id="232"/>
      <w:r>
        <w:rPr>
          <w:rFonts w:hint="eastAsia" w:hAnsi="宋体"/>
          <w:color w:val="000000" w:themeColor="text1"/>
          <w:szCs w:val="21"/>
          <w14:textFill>
            <w14:solidFill>
              <w14:schemeClr w14:val="tx1"/>
            </w14:solidFill>
          </w14:textFill>
        </w:rPr>
        <w:t>的入职培训中。</w:t>
      </w:r>
    </w:p>
    <w:p w14:paraId="5E947204">
      <w:pPr>
        <w:pStyle w:val="26"/>
        <w:numPr>
          <w:ilvl w:val="0"/>
          <w:numId w:val="3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针对性培训:根据需求分析的结论针对不同评估节点提出安全防护措施。</w:t>
      </w:r>
    </w:p>
    <w:p w14:paraId="7CB2A92C">
      <w:pPr>
        <w:pStyle w:val="26"/>
        <w:numPr>
          <w:ilvl w:val="0"/>
          <w:numId w:val="36"/>
        </w:numPr>
        <w:tabs>
          <w:tab w:val="left" w:pos="312"/>
        </w:tabs>
        <w:ind w:left="0"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应定期更新和重复培训。</w:t>
      </w:r>
    </w:p>
    <w:p w14:paraId="5012F33F">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233" w:name="_Toc207032564"/>
      <w:bookmarkStart w:id="234" w:name="_Toc1808668649"/>
      <w:bookmarkStart w:id="235" w:name="_Toc177137476"/>
      <w:r>
        <w:rPr>
          <w:rFonts w:ascii="黑体" w:hAnsi="黑体" w:eastAsia="黑体"/>
          <w:color w:val="000000" w:themeColor="text1"/>
          <w:szCs w:val="21"/>
          <w14:textFill>
            <w14:solidFill>
              <w14:schemeClr w14:val="tx1"/>
            </w14:solidFill>
          </w14:textFill>
        </w:rPr>
        <w:t>7</w:t>
      </w:r>
      <w:r>
        <w:rPr>
          <w:rFonts w:hint="eastAsia" w:ascii="黑体" w:hAnsi="黑体" w:eastAsia="黑体"/>
          <w:color w:val="000000" w:themeColor="text1"/>
          <w:szCs w:val="21"/>
          <w14:textFill>
            <w14:solidFill>
              <w14:schemeClr w14:val="tx1"/>
            </w14:solidFill>
          </w14:textFill>
        </w:rPr>
        <w:t>.3.2</w:t>
      </w:r>
      <w:r>
        <w:rPr>
          <w:rFonts w:hint="eastAsia" w:ascii="宋体" w:hAnsi="宋体"/>
          <w:color w:val="000000" w:themeColor="text1"/>
          <w:kern w:val="0"/>
          <w:szCs w:val="21"/>
          <w14:textFill>
            <w14:solidFill>
              <w14:schemeClr w14:val="tx1"/>
            </w14:solidFill>
          </w14:textFill>
        </w:rPr>
        <w:t>信息安全培训应包含下列内容：</w:t>
      </w:r>
      <w:bookmarkEnd w:id="233"/>
      <w:bookmarkEnd w:id="234"/>
      <w:bookmarkEnd w:id="235"/>
    </w:p>
    <w:p w14:paraId="020A8538">
      <w:pPr>
        <w:pStyle w:val="26"/>
        <w:numPr>
          <w:ilvl w:val="0"/>
          <w:numId w:val="3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法规政策教育：培训国家相关法律法规、行业标准以及本企业相关信息安全管理制度的学习，使得相关人员明确其在信息安全管理中的法律责任和义务。</w:t>
      </w:r>
    </w:p>
    <w:p w14:paraId="68A553D6">
      <w:pPr>
        <w:pStyle w:val="26"/>
        <w:numPr>
          <w:ilvl w:val="0"/>
          <w:numId w:val="3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基础知识普及：</w:t>
      </w:r>
      <w:r>
        <w:rPr>
          <w:color w:val="000000" w:themeColor="text1"/>
          <w14:textFill>
            <w14:solidFill>
              <w14:schemeClr w14:val="tx1"/>
            </w14:solidFill>
          </w14:textFill>
        </w:rPr>
        <w:t>涵盖密码学基础、网络攻防原理、数据加密、身份认证、权限管理等信息安全基础知识。</w:t>
      </w:r>
    </w:p>
    <w:p w14:paraId="298E362D">
      <w:pPr>
        <w:pStyle w:val="26"/>
        <w:numPr>
          <w:ilvl w:val="0"/>
          <w:numId w:val="3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专项技能培训：</w:t>
      </w:r>
      <w:r>
        <w:rPr>
          <w:color w:val="000000" w:themeColor="text1"/>
          <w14:textFill>
            <w14:solidFill>
              <w14:schemeClr w14:val="tx1"/>
            </w14:solidFill>
          </w14:textFill>
        </w:rPr>
        <w:t>包括但不限于操作系统安全设置、数据库安全、应用系统安全使用方法、移动设备和BYOD（自带设备办公）的安全管理等内容。</w:t>
      </w:r>
    </w:p>
    <w:p w14:paraId="4FC12960">
      <w:pPr>
        <w:pStyle w:val="26"/>
        <w:numPr>
          <w:ilvl w:val="0"/>
          <w:numId w:val="3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案例分析与实践演练：</w:t>
      </w:r>
      <w:r>
        <w:rPr>
          <w:color w:val="000000" w:themeColor="text1"/>
          <w14:textFill>
            <w14:solidFill>
              <w14:schemeClr w14:val="tx1"/>
            </w14:solidFill>
          </w14:textFill>
        </w:rPr>
        <w:t>通过真实案例分析，提高员工对信息安全威胁的敏感性和应对能力；定期进行模拟攻击与防御实战演练，提升应急处理能力。</w:t>
      </w:r>
    </w:p>
    <w:p w14:paraId="405D1739">
      <w:pPr>
        <w:pStyle w:val="26"/>
        <w:numPr>
          <w:ilvl w:val="0"/>
          <w:numId w:val="37"/>
        </w:numPr>
        <w:ind w:firstLineChars="0"/>
        <w:rPr>
          <w:color w:val="000000" w:themeColor="text1"/>
          <w14:textFill>
            <w14:solidFill>
              <w14:schemeClr w14:val="tx1"/>
            </w14:solidFill>
          </w14:textFill>
        </w:rPr>
        <w:sectPr>
          <w:headerReference r:id="rId11" w:type="default"/>
          <w:footerReference r:id="rId12" w:type="even"/>
          <w:pgSz w:w="11906" w:h="16838"/>
          <w:pgMar w:top="1440" w:right="1800" w:bottom="1440" w:left="1800" w:header="1417" w:footer="1134" w:gutter="0"/>
          <w:pgNumType w:start="1"/>
          <w:cols w:space="425" w:num="1"/>
          <w:docGrid w:type="lines" w:linePitch="312" w:charSpace="0"/>
        </w:sectPr>
      </w:pPr>
      <w:r>
        <w:rPr>
          <w:rFonts w:hint="eastAsia"/>
          <w:color w:val="000000" w:themeColor="text1"/>
          <w14:textFill>
            <w14:solidFill>
              <w14:schemeClr w14:val="tx1"/>
            </w14:solidFill>
          </w14:textFill>
        </w:rPr>
        <w:t>基础知识普及：</w:t>
      </w:r>
      <w:r>
        <w:rPr>
          <w:color w:val="000000" w:themeColor="text1"/>
          <w14:textFill>
            <w14:solidFill>
              <w14:schemeClr w14:val="tx1"/>
            </w14:solidFill>
          </w14:textFill>
        </w:rPr>
        <w:t>涵盖密码学基础、网络攻防原理、数据加密、身份认证、权限管理等信息安全基础知识。</w:t>
      </w:r>
    </w:p>
    <w:p w14:paraId="4E50CD42">
      <w:pPr>
        <w:pStyle w:val="23"/>
        <w:spacing w:before="156" w:after="156"/>
        <w:jc w:val="center"/>
        <w:outlineLvl w:val="1"/>
        <w:rPr>
          <w:color w:val="000000" w:themeColor="text1"/>
          <w14:textFill>
            <w14:solidFill>
              <w14:schemeClr w14:val="tx1"/>
            </w14:solidFill>
          </w14:textFill>
        </w:rPr>
      </w:pPr>
      <w:bookmarkStart w:id="236" w:name="_Toc207032565"/>
      <w:r>
        <w:rPr>
          <w:rFonts w:hint="eastAsia"/>
          <w:color w:val="000000" w:themeColor="text1"/>
          <w14:textFill>
            <w14:solidFill>
              <w14:schemeClr w14:val="tx1"/>
            </w14:solidFill>
          </w14:textFill>
        </w:rPr>
        <w:t>附录A</w:t>
      </w:r>
      <w:bookmarkEnd w:id="236"/>
      <w:r>
        <w:rPr>
          <w:rFonts w:hint="eastAsia"/>
          <w:color w:val="000000" w:themeColor="text1"/>
          <w14:textFill>
            <w14:solidFill>
              <w14:schemeClr w14:val="tx1"/>
            </w14:solidFill>
          </w14:textFill>
        </w:rPr>
        <w:t xml:space="preserve"> </w:t>
      </w:r>
    </w:p>
    <w:p w14:paraId="0CDF37DE">
      <w:pPr>
        <w:jc w:val="center"/>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（资料性）</w:t>
      </w:r>
    </w:p>
    <w:p w14:paraId="6A6EFFC9">
      <w:pPr>
        <w:pStyle w:val="23"/>
        <w:spacing w:before="156" w:after="156"/>
        <w:jc w:val="center"/>
        <w:outlineLvl w:val="1"/>
        <w:rPr>
          <w:color w:val="000000" w:themeColor="text1"/>
          <w14:textFill>
            <w14:solidFill>
              <w14:schemeClr w14:val="tx1"/>
            </w14:solidFill>
          </w14:textFill>
        </w:rPr>
      </w:pPr>
      <w:bookmarkStart w:id="237" w:name="_Toc207032566"/>
      <w:r>
        <w:rPr>
          <w:rFonts w:hint="eastAsia"/>
          <w:color w:val="000000" w:themeColor="text1"/>
          <w14:textFill>
            <w14:solidFill>
              <w14:schemeClr w14:val="tx1"/>
            </w14:solidFill>
          </w14:textFill>
        </w:rPr>
        <w:t>水务行业信息系统风险等级参考</w:t>
      </w:r>
      <w:bookmarkEnd w:id="237"/>
    </w:p>
    <w:p w14:paraId="21CBF886">
      <w:pPr>
        <w:rPr>
          <w:rFonts w:ascii="宋体" w:hAnsi="宋体"/>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A.1</w:t>
      </w:r>
      <w:r>
        <w:rPr>
          <w:rFonts w:hint="eastAsia" w:ascii="宋体" w:hAnsi="宋体"/>
          <w:color w:val="000000" w:themeColor="text1"/>
          <w14:textFill>
            <w14:solidFill>
              <w14:schemeClr w14:val="tx1"/>
            </w14:solidFill>
          </w14:textFill>
        </w:rPr>
        <w:t>水务</w:t>
      </w:r>
      <w:r>
        <w:rPr>
          <w:rFonts w:ascii="宋体" w:hAnsi="宋体"/>
          <w:color w:val="000000" w:themeColor="text1"/>
          <w14:textFill>
            <w14:solidFill>
              <w14:schemeClr w14:val="tx1"/>
            </w14:solidFill>
          </w14:textFill>
        </w:rPr>
        <w:t>信息系统</w:t>
      </w:r>
      <w:r>
        <w:rPr>
          <w:rFonts w:hint="eastAsia" w:ascii="宋体" w:hAnsi="宋体"/>
          <w:color w:val="000000" w:themeColor="text1"/>
          <w14:textFill>
            <w14:solidFill>
              <w14:schemeClr w14:val="tx1"/>
            </w14:solidFill>
          </w14:textFill>
        </w:rPr>
        <w:t>可按照以下原则划分风险等级：</w:t>
      </w:r>
    </w:p>
    <w:p w14:paraId="2909ED7F">
      <w:pPr>
        <w:pStyle w:val="26"/>
        <w:numPr>
          <w:ilvl w:val="0"/>
          <w:numId w:val="38"/>
        </w:numPr>
        <w:ind w:firstLineChars="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系统/网站只能浏览，无信息交互，</w:t>
      </w:r>
      <w:r>
        <w:rPr>
          <w:rFonts w:hAnsi="宋体"/>
          <w:color w:val="000000" w:themeColor="text1"/>
          <w:szCs w:val="21"/>
          <w14:textFill>
            <w14:solidFill>
              <w14:schemeClr w14:val="tx1"/>
            </w14:solidFill>
          </w14:textFill>
        </w:rPr>
        <w:t>定为第一级</w:t>
      </w:r>
      <w:r>
        <w:rPr>
          <w:rFonts w:hint="eastAsia" w:hAnsi="宋体"/>
          <w:color w:val="000000" w:themeColor="text1"/>
          <w:szCs w:val="21"/>
          <w14:textFill>
            <w14:solidFill>
              <w14:schemeClr w14:val="tx1"/>
            </w14:solidFill>
          </w14:textFill>
        </w:rPr>
        <w:t>。</w:t>
      </w:r>
    </w:p>
    <w:p w14:paraId="7CE8D92E">
      <w:pPr>
        <w:pStyle w:val="26"/>
        <w:numPr>
          <w:ilvl w:val="0"/>
          <w:numId w:val="38"/>
        </w:numPr>
        <w:ind w:firstLineChars="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系统/网站</w:t>
      </w:r>
      <w:r>
        <w:rPr>
          <w:rFonts w:hAnsi="宋体"/>
          <w:color w:val="000000" w:themeColor="text1"/>
          <w:szCs w:val="21"/>
          <w14:textFill>
            <w14:solidFill>
              <w14:schemeClr w14:val="tx1"/>
            </w14:solidFill>
          </w14:textFill>
        </w:rPr>
        <w:t>不涉敏感信息</w:t>
      </w:r>
      <w:r>
        <w:rPr>
          <w:rFonts w:hint="eastAsia" w:hAnsi="宋体"/>
          <w:color w:val="000000" w:themeColor="text1"/>
          <w:szCs w:val="21"/>
          <w14:textFill>
            <w14:solidFill>
              <w14:schemeClr w14:val="tx1"/>
            </w14:solidFill>
          </w14:textFill>
        </w:rPr>
        <w:t>（如管网坐标）或用户个人信息</w:t>
      </w:r>
      <w:r>
        <w:rPr>
          <w:rFonts w:hAnsi="宋体"/>
          <w:color w:val="000000" w:themeColor="text1"/>
          <w:szCs w:val="21"/>
          <w14:textFill>
            <w14:solidFill>
              <w14:schemeClr w14:val="tx1"/>
            </w14:solidFill>
          </w14:textFill>
        </w:rPr>
        <w:t>，定为第</w:t>
      </w:r>
      <w:r>
        <w:rPr>
          <w:rFonts w:hint="eastAsia" w:hAnsi="宋体"/>
          <w:color w:val="000000" w:themeColor="text1"/>
          <w:szCs w:val="21"/>
          <w14:textFill>
            <w14:solidFill>
              <w14:schemeClr w14:val="tx1"/>
            </w14:solidFill>
          </w14:textFill>
        </w:rPr>
        <w:t>二</w:t>
      </w:r>
      <w:r>
        <w:rPr>
          <w:rFonts w:hAnsi="宋体"/>
          <w:color w:val="000000" w:themeColor="text1"/>
          <w:szCs w:val="21"/>
          <w14:textFill>
            <w14:solidFill>
              <w14:schemeClr w14:val="tx1"/>
            </w14:solidFill>
          </w14:textFill>
        </w:rPr>
        <w:t>级</w:t>
      </w:r>
      <w:r>
        <w:rPr>
          <w:rFonts w:hint="eastAsia" w:hAnsi="宋体"/>
          <w:color w:val="000000" w:themeColor="text1"/>
          <w:szCs w:val="21"/>
          <w14:textFill>
            <w14:solidFill>
              <w14:schemeClr w14:val="tx1"/>
            </w14:solidFill>
          </w14:textFill>
        </w:rPr>
        <w:t>。</w:t>
      </w:r>
    </w:p>
    <w:p w14:paraId="0BE0B4D2">
      <w:pPr>
        <w:pStyle w:val="26"/>
        <w:numPr>
          <w:ilvl w:val="0"/>
          <w:numId w:val="38"/>
        </w:numPr>
        <w:ind w:firstLineChars="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系统/网站</w:t>
      </w:r>
      <w:r>
        <w:rPr>
          <w:rFonts w:hAnsi="宋体"/>
          <w:color w:val="000000" w:themeColor="text1"/>
          <w:szCs w:val="21"/>
          <w14:textFill>
            <w14:solidFill>
              <w14:schemeClr w14:val="tx1"/>
            </w14:solidFill>
          </w14:textFill>
        </w:rPr>
        <w:t>涉敏感信息</w:t>
      </w:r>
      <w:r>
        <w:rPr>
          <w:rFonts w:hint="eastAsia" w:hAnsi="宋体"/>
          <w:color w:val="000000" w:themeColor="text1"/>
          <w:szCs w:val="21"/>
          <w14:textFill>
            <w14:solidFill>
              <w14:schemeClr w14:val="tx1"/>
            </w14:solidFill>
          </w14:textFill>
        </w:rPr>
        <w:t>或用户个人信息</w:t>
      </w:r>
      <w:r>
        <w:rPr>
          <w:rFonts w:hAnsi="宋体"/>
          <w:color w:val="000000" w:themeColor="text1"/>
          <w:szCs w:val="21"/>
          <w14:textFill>
            <w14:solidFill>
              <w14:schemeClr w14:val="tx1"/>
            </w14:solidFill>
          </w14:textFill>
        </w:rPr>
        <w:t>，定为第</w:t>
      </w:r>
      <w:r>
        <w:rPr>
          <w:rFonts w:hint="eastAsia" w:hAnsi="宋体"/>
          <w:color w:val="000000" w:themeColor="text1"/>
          <w:szCs w:val="21"/>
          <w14:textFill>
            <w14:solidFill>
              <w14:schemeClr w14:val="tx1"/>
            </w14:solidFill>
          </w14:textFill>
        </w:rPr>
        <w:t>三</w:t>
      </w:r>
      <w:r>
        <w:rPr>
          <w:rFonts w:hAnsi="宋体"/>
          <w:color w:val="000000" w:themeColor="text1"/>
          <w:szCs w:val="21"/>
          <w14:textFill>
            <w14:solidFill>
              <w14:schemeClr w14:val="tx1"/>
            </w14:solidFill>
          </w14:textFill>
        </w:rPr>
        <w:t>级</w:t>
      </w:r>
      <w:r>
        <w:rPr>
          <w:rFonts w:hint="eastAsia" w:hAnsi="宋体"/>
          <w:color w:val="000000" w:themeColor="text1"/>
          <w:szCs w:val="21"/>
          <w14:textFill>
            <w14:solidFill>
              <w14:schemeClr w14:val="tx1"/>
            </w14:solidFill>
          </w14:textFill>
        </w:rPr>
        <w:t>。</w:t>
      </w:r>
    </w:p>
    <w:p w14:paraId="4685A08C">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238" w:name="OLE_LINK72"/>
      <w:bookmarkStart w:id="239" w:name="_Toc207032567"/>
      <w:bookmarkStart w:id="240" w:name="_Toc1231256970"/>
      <w:r>
        <w:rPr>
          <w:rFonts w:hint="eastAsia" w:ascii="黑体" w:hAnsi="黑体" w:eastAsia="黑体"/>
          <w:color w:val="000000" w:themeColor="text1"/>
          <w:szCs w:val="21"/>
          <w14:textFill>
            <w14:solidFill>
              <w14:schemeClr w14:val="tx1"/>
            </w14:solidFill>
          </w14:textFill>
        </w:rPr>
        <w:t>A.2</w:t>
      </w:r>
      <w:r>
        <w:rPr>
          <w:rFonts w:ascii="黑体" w:hAnsi="黑体" w:eastAsia="黑体"/>
          <w:color w:val="000000" w:themeColor="text1"/>
          <w:szCs w:val="21"/>
          <w14:textFill>
            <w14:solidFill>
              <w14:schemeClr w14:val="tx1"/>
            </w14:solidFill>
          </w14:textFill>
        </w:rPr>
        <w:t xml:space="preserve"> </w:t>
      </w:r>
      <w:bookmarkEnd w:id="238"/>
      <w:r>
        <w:rPr>
          <w:rFonts w:ascii="黑体" w:hAnsi="黑体" w:eastAsia="黑体"/>
          <w:color w:val="000000" w:themeColor="text1"/>
          <w:szCs w:val="21"/>
          <w14:textFill>
            <w14:solidFill>
              <w14:schemeClr w14:val="tx1"/>
            </w14:solidFill>
          </w14:textFill>
        </w:rPr>
        <w:t>水厂</w:t>
      </w:r>
      <w:r>
        <w:rPr>
          <w:rFonts w:hint="eastAsia" w:ascii="黑体" w:hAnsi="黑体" w:eastAsia="黑体"/>
          <w:color w:val="000000" w:themeColor="text1"/>
          <w:szCs w:val="21"/>
          <w14:textFill>
            <w14:solidFill>
              <w14:schemeClr w14:val="tx1"/>
            </w14:solidFill>
          </w14:textFill>
        </w:rPr>
        <w:t>/泵站</w:t>
      </w:r>
      <w:r>
        <w:rPr>
          <w:rFonts w:ascii="黑体" w:hAnsi="黑体" w:eastAsia="黑体"/>
          <w:color w:val="000000" w:themeColor="text1"/>
          <w:szCs w:val="21"/>
          <w14:textFill>
            <w14:solidFill>
              <w14:schemeClr w14:val="tx1"/>
            </w14:solidFill>
          </w14:textFill>
        </w:rPr>
        <w:t>工控系统</w:t>
      </w:r>
      <w:bookmarkEnd w:id="239"/>
      <w:bookmarkEnd w:id="240"/>
    </w:p>
    <w:p w14:paraId="0F6D06E9">
      <w:pPr>
        <w:pStyle w:val="26"/>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水厂/泵站工控系统风险等级见表A.1</w:t>
      </w:r>
    </w:p>
    <w:p w14:paraId="64AEC945">
      <w:pPr>
        <w:pStyle w:val="3"/>
        <w:spacing w:line="240" w:lineRule="auto"/>
        <w:jc w:val="center"/>
        <w:rPr>
          <w:rFonts w:ascii="黑体" w:hAnsi="黑体"/>
          <w:color w:val="000000" w:themeColor="text1"/>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表 A.1 水厂/泵站工控系统风险等级表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693"/>
        <w:gridCol w:w="2631"/>
      </w:tblGrid>
      <w:tr w14:paraId="26A9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72" w:type="dxa"/>
          </w:tcPr>
          <w:p w14:paraId="206C57DA">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日供水规模 X</w:t>
            </w:r>
          </w:p>
        </w:tc>
        <w:tc>
          <w:tcPr>
            <w:tcW w:w="2693" w:type="dxa"/>
          </w:tcPr>
          <w:p w14:paraId="7772FC5E">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有备用供水方案</w:t>
            </w:r>
          </w:p>
        </w:tc>
        <w:tc>
          <w:tcPr>
            <w:tcW w:w="2631" w:type="dxa"/>
            <w:vAlign w:val="center"/>
          </w:tcPr>
          <w:p w14:paraId="11488881">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无备用供水方案</w:t>
            </w:r>
          </w:p>
        </w:tc>
      </w:tr>
      <w:tr w14:paraId="6371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72" w:type="dxa"/>
          </w:tcPr>
          <w:p w14:paraId="4DFF8300">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X＜5万m</w:t>
            </w:r>
            <w:r>
              <w:rPr>
                <w:rFonts w:hint="eastAsia" w:ascii="宋体" w:hAnsi="宋体"/>
                <w:color w:val="000000"/>
                <w:kern w:val="0"/>
                <w:sz w:val="18"/>
                <w:szCs w:val="18"/>
                <w:vertAlign w:val="superscript"/>
              </w:rPr>
              <w:t>3</w:t>
            </w:r>
            <w:r>
              <w:rPr>
                <w:rFonts w:hint="eastAsia" w:ascii="宋体" w:hAnsi="宋体"/>
                <w:color w:val="000000"/>
                <w:kern w:val="0"/>
                <w:sz w:val="18"/>
                <w:szCs w:val="18"/>
              </w:rPr>
              <w:t>/d</w:t>
            </w:r>
          </w:p>
        </w:tc>
        <w:tc>
          <w:tcPr>
            <w:tcW w:w="2693" w:type="dxa"/>
          </w:tcPr>
          <w:p w14:paraId="5E51752F">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第一级</w:t>
            </w:r>
          </w:p>
        </w:tc>
        <w:tc>
          <w:tcPr>
            <w:tcW w:w="2631" w:type="dxa"/>
          </w:tcPr>
          <w:p w14:paraId="76097246">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第二级</w:t>
            </w:r>
          </w:p>
        </w:tc>
      </w:tr>
      <w:tr w14:paraId="6728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72" w:type="dxa"/>
          </w:tcPr>
          <w:p w14:paraId="226B93A3">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5万m</w:t>
            </w:r>
            <w:r>
              <w:rPr>
                <w:rFonts w:hint="eastAsia" w:ascii="宋体" w:hAnsi="宋体"/>
                <w:color w:val="000000"/>
                <w:kern w:val="0"/>
                <w:sz w:val="18"/>
                <w:szCs w:val="18"/>
                <w:vertAlign w:val="superscript"/>
              </w:rPr>
              <w:t>3</w:t>
            </w:r>
            <w:r>
              <w:rPr>
                <w:rFonts w:hint="eastAsia" w:ascii="宋体" w:hAnsi="宋体"/>
                <w:color w:val="000000"/>
                <w:kern w:val="0"/>
                <w:sz w:val="18"/>
                <w:szCs w:val="18"/>
              </w:rPr>
              <w:t>/d≤X＜30万m</w:t>
            </w:r>
            <w:r>
              <w:rPr>
                <w:rFonts w:hint="eastAsia" w:ascii="宋体" w:hAnsi="宋体"/>
                <w:color w:val="000000"/>
                <w:kern w:val="0"/>
                <w:sz w:val="18"/>
                <w:szCs w:val="18"/>
                <w:vertAlign w:val="superscript"/>
              </w:rPr>
              <w:t>3</w:t>
            </w:r>
            <w:r>
              <w:rPr>
                <w:rFonts w:hint="eastAsia" w:ascii="宋体" w:hAnsi="宋体"/>
                <w:color w:val="000000"/>
                <w:kern w:val="0"/>
                <w:sz w:val="18"/>
                <w:szCs w:val="18"/>
              </w:rPr>
              <w:t>/d</w:t>
            </w:r>
          </w:p>
        </w:tc>
        <w:tc>
          <w:tcPr>
            <w:tcW w:w="2693" w:type="dxa"/>
          </w:tcPr>
          <w:p w14:paraId="140B9A80">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第二级</w:t>
            </w:r>
          </w:p>
        </w:tc>
        <w:tc>
          <w:tcPr>
            <w:tcW w:w="2631" w:type="dxa"/>
          </w:tcPr>
          <w:p w14:paraId="1C32E284">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第三级</w:t>
            </w:r>
          </w:p>
        </w:tc>
      </w:tr>
      <w:tr w14:paraId="3780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72" w:type="dxa"/>
          </w:tcPr>
          <w:p w14:paraId="1B1ECCF4">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X≥30万m</w:t>
            </w:r>
            <w:r>
              <w:rPr>
                <w:rFonts w:hint="eastAsia" w:ascii="宋体" w:hAnsi="宋体"/>
                <w:color w:val="000000"/>
                <w:kern w:val="0"/>
                <w:sz w:val="18"/>
                <w:szCs w:val="18"/>
                <w:vertAlign w:val="superscript"/>
              </w:rPr>
              <w:t>3</w:t>
            </w:r>
            <w:r>
              <w:rPr>
                <w:rFonts w:hint="eastAsia" w:ascii="宋体" w:hAnsi="宋体"/>
                <w:color w:val="000000"/>
                <w:kern w:val="0"/>
                <w:sz w:val="18"/>
                <w:szCs w:val="18"/>
              </w:rPr>
              <w:t>/d</w:t>
            </w:r>
          </w:p>
        </w:tc>
        <w:tc>
          <w:tcPr>
            <w:tcW w:w="2693" w:type="dxa"/>
          </w:tcPr>
          <w:p w14:paraId="07A976D3">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第三级</w:t>
            </w:r>
          </w:p>
        </w:tc>
        <w:tc>
          <w:tcPr>
            <w:tcW w:w="2631" w:type="dxa"/>
          </w:tcPr>
          <w:p w14:paraId="0B402963">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第三级</w:t>
            </w:r>
          </w:p>
        </w:tc>
      </w:tr>
    </w:tbl>
    <w:p w14:paraId="57A079A0">
      <w:pPr>
        <w:pStyle w:val="26"/>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工控系统不分大小，全部要求物理隔离或利用网闸等设备进行逻辑隔离。</w:t>
      </w:r>
    </w:p>
    <w:p w14:paraId="4266C1FF">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241" w:name="_Toc583472298"/>
      <w:bookmarkStart w:id="242" w:name="_Toc207032568"/>
      <w:r>
        <w:rPr>
          <w:rFonts w:hint="eastAsia" w:ascii="黑体" w:hAnsi="黑体" w:eastAsia="黑体"/>
          <w:color w:val="000000" w:themeColor="text1"/>
          <w:szCs w:val="21"/>
          <w14:textFill>
            <w14:solidFill>
              <w14:schemeClr w14:val="tx1"/>
            </w14:solidFill>
          </w14:textFill>
        </w:rPr>
        <w:t>A.3</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污</w:t>
      </w:r>
      <w:r>
        <w:rPr>
          <w:rFonts w:ascii="黑体" w:hAnsi="黑体" w:eastAsia="黑体"/>
          <w:color w:val="000000" w:themeColor="text1"/>
          <w:szCs w:val="21"/>
          <w14:textFill>
            <w14:solidFill>
              <w14:schemeClr w14:val="tx1"/>
            </w14:solidFill>
          </w14:textFill>
        </w:rPr>
        <w:t>水厂</w:t>
      </w:r>
      <w:r>
        <w:rPr>
          <w:rFonts w:hint="eastAsia" w:ascii="黑体" w:hAnsi="黑体" w:eastAsia="黑体"/>
          <w:color w:val="000000" w:themeColor="text1"/>
          <w:szCs w:val="21"/>
          <w14:textFill>
            <w14:solidFill>
              <w14:schemeClr w14:val="tx1"/>
            </w14:solidFill>
          </w14:textFill>
        </w:rPr>
        <w:t>/污水泵站</w:t>
      </w:r>
      <w:r>
        <w:rPr>
          <w:rFonts w:ascii="黑体" w:hAnsi="黑体" w:eastAsia="黑体"/>
          <w:color w:val="000000" w:themeColor="text1"/>
          <w:szCs w:val="21"/>
          <w14:textFill>
            <w14:solidFill>
              <w14:schemeClr w14:val="tx1"/>
            </w14:solidFill>
          </w14:textFill>
        </w:rPr>
        <w:t>工控系统</w:t>
      </w:r>
      <w:bookmarkEnd w:id="241"/>
      <w:bookmarkEnd w:id="242"/>
    </w:p>
    <w:p w14:paraId="7B2D296D">
      <w:pPr>
        <w:pStyle w:val="26"/>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水厂/泵站工控系统风险等级见表A.2</w:t>
      </w:r>
    </w:p>
    <w:p w14:paraId="0E9B39FB">
      <w:pPr>
        <w:pStyle w:val="3"/>
        <w:spacing w:line="240" w:lineRule="auto"/>
        <w:jc w:val="center"/>
        <w:rPr>
          <w:rFonts w:ascii="黑体" w:hAnsi="黑体"/>
          <w:color w:val="000000" w:themeColor="text1"/>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表 A.2 水厂/泵站工控系统风险等级表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693"/>
      </w:tblGrid>
      <w:tr w14:paraId="53D5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72" w:type="dxa"/>
          </w:tcPr>
          <w:p w14:paraId="740BFD90">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日处理规模 X</w:t>
            </w:r>
          </w:p>
        </w:tc>
        <w:tc>
          <w:tcPr>
            <w:tcW w:w="2693" w:type="dxa"/>
          </w:tcPr>
          <w:p w14:paraId="0B0B840A">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安全等级</w:t>
            </w:r>
          </w:p>
        </w:tc>
      </w:tr>
      <w:tr w14:paraId="5DF7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72" w:type="dxa"/>
          </w:tcPr>
          <w:p w14:paraId="30F449BF">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X＜5万m</w:t>
            </w:r>
            <w:r>
              <w:rPr>
                <w:rFonts w:hint="eastAsia" w:ascii="宋体" w:hAnsi="宋体"/>
                <w:color w:val="000000"/>
                <w:kern w:val="0"/>
                <w:sz w:val="18"/>
                <w:szCs w:val="18"/>
                <w:vertAlign w:val="superscript"/>
              </w:rPr>
              <w:t>3</w:t>
            </w:r>
            <w:r>
              <w:rPr>
                <w:rFonts w:hint="eastAsia" w:ascii="宋体" w:hAnsi="宋体"/>
                <w:color w:val="000000"/>
                <w:kern w:val="0"/>
                <w:sz w:val="18"/>
                <w:szCs w:val="18"/>
              </w:rPr>
              <w:t>/d</w:t>
            </w:r>
          </w:p>
        </w:tc>
        <w:tc>
          <w:tcPr>
            <w:tcW w:w="2693" w:type="dxa"/>
          </w:tcPr>
          <w:p w14:paraId="26BDE49A">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第一级</w:t>
            </w:r>
          </w:p>
        </w:tc>
      </w:tr>
      <w:tr w14:paraId="2C1A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72" w:type="dxa"/>
          </w:tcPr>
          <w:p w14:paraId="02E683CF">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5万m</w:t>
            </w:r>
            <w:r>
              <w:rPr>
                <w:rFonts w:hint="eastAsia" w:ascii="宋体" w:hAnsi="宋体"/>
                <w:color w:val="000000"/>
                <w:kern w:val="0"/>
                <w:sz w:val="18"/>
                <w:szCs w:val="18"/>
                <w:vertAlign w:val="superscript"/>
              </w:rPr>
              <w:t>3</w:t>
            </w:r>
            <w:r>
              <w:rPr>
                <w:rFonts w:hint="eastAsia" w:ascii="宋体" w:hAnsi="宋体"/>
                <w:color w:val="000000"/>
                <w:kern w:val="0"/>
                <w:sz w:val="18"/>
                <w:szCs w:val="18"/>
              </w:rPr>
              <w:t>/d≤X＜30万m</w:t>
            </w:r>
            <w:r>
              <w:rPr>
                <w:rFonts w:hint="eastAsia" w:ascii="宋体" w:hAnsi="宋体"/>
                <w:color w:val="000000"/>
                <w:kern w:val="0"/>
                <w:sz w:val="18"/>
                <w:szCs w:val="18"/>
                <w:vertAlign w:val="superscript"/>
              </w:rPr>
              <w:t>3</w:t>
            </w:r>
            <w:r>
              <w:rPr>
                <w:rFonts w:hint="eastAsia" w:ascii="宋体" w:hAnsi="宋体"/>
                <w:color w:val="000000"/>
                <w:kern w:val="0"/>
                <w:sz w:val="18"/>
                <w:szCs w:val="18"/>
              </w:rPr>
              <w:t>/d</w:t>
            </w:r>
          </w:p>
        </w:tc>
        <w:tc>
          <w:tcPr>
            <w:tcW w:w="2693" w:type="dxa"/>
          </w:tcPr>
          <w:p w14:paraId="605B5D63">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第二级</w:t>
            </w:r>
          </w:p>
        </w:tc>
      </w:tr>
      <w:tr w14:paraId="0779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72" w:type="dxa"/>
          </w:tcPr>
          <w:p w14:paraId="0EC19DB4">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X≥30万m</w:t>
            </w:r>
            <w:r>
              <w:rPr>
                <w:rFonts w:hint="eastAsia" w:ascii="宋体" w:hAnsi="宋体"/>
                <w:color w:val="000000"/>
                <w:kern w:val="0"/>
                <w:sz w:val="18"/>
                <w:szCs w:val="18"/>
                <w:vertAlign w:val="superscript"/>
              </w:rPr>
              <w:t>3</w:t>
            </w:r>
            <w:r>
              <w:rPr>
                <w:rFonts w:hint="eastAsia" w:ascii="宋体" w:hAnsi="宋体"/>
                <w:color w:val="000000"/>
                <w:kern w:val="0"/>
                <w:sz w:val="18"/>
                <w:szCs w:val="18"/>
              </w:rPr>
              <w:t>/d</w:t>
            </w:r>
          </w:p>
        </w:tc>
        <w:tc>
          <w:tcPr>
            <w:tcW w:w="2693" w:type="dxa"/>
          </w:tcPr>
          <w:p w14:paraId="34CBBF62">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第三级</w:t>
            </w:r>
          </w:p>
        </w:tc>
      </w:tr>
    </w:tbl>
    <w:p w14:paraId="6A9BC64A">
      <w:pPr>
        <w:pStyle w:val="26"/>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工控系统不分大小，全部要求物理隔离或利用网闸等设备进行逻辑隔离。</w:t>
      </w:r>
    </w:p>
    <w:p w14:paraId="751302AF">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243" w:name="_Toc1008580284"/>
      <w:bookmarkStart w:id="244" w:name="_Toc207032569"/>
      <w:r>
        <w:rPr>
          <w:rFonts w:hint="eastAsia" w:ascii="黑体" w:hAnsi="黑体" w:eastAsia="黑体"/>
          <w:color w:val="000000" w:themeColor="text1"/>
          <w:szCs w:val="21"/>
          <w14:textFill>
            <w14:solidFill>
              <w14:schemeClr w14:val="tx1"/>
            </w14:solidFill>
          </w14:textFill>
        </w:rPr>
        <w:t>A</w:t>
      </w:r>
      <w:r>
        <w:rPr>
          <w:rFonts w:ascii="黑体" w:hAnsi="黑体" w:eastAsia="黑体"/>
          <w:color w:val="000000" w:themeColor="text1"/>
          <w:szCs w:val="21"/>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3</w:t>
      </w:r>
      <w:r>
        <w:rPr>
          <w:rFonts w:ascii="黑体" w:hAnsi="黑体" w:eastAsia="黑体"/>
          <w:color w:val="000000" w:themeColor="text1"/>
          <w:szCs w:val="21"/>
          <w14:textFill>
            <w14:solidFill>
              <w14:schemeClr w14:val="tx1"/>
            </w14:solidFill>
          </w14:textFill>
        </w:rPr>
        <w:t xml:space="preserve"> 水厂</w:t>
      </w:r>
      <w:r>
        <w:rPr>
          <w:rFonts w:hint="eastAsia" w:ascii="黑体" w:hAnsi="黑体" w:eastAsia="黑体"/>
          <w:color w:val="000000" w:themeColor="text1"/>
          <w:szCs w:val="21"/>
          <w14:textFill>
            <w14:solidFill>
              <w14:schemeClr w14:val="tx1"/>
            </w14:solidFill>
          </w14:textFill>
        </w:rPr>
        <w:t>/污水厂综合管理</w:t>
      </w:r>
      <w:r>
        <w:rPr>
          <w:rFonts w:ascii="黑体" w:hAnsi="黑体" w:eastAsia="黑体"/>
          <w:color w:val="000000" w:themeColor="text1"/>
          <w:szCs w:val="21"/>
          <w14:textFill>
            <w14:solidFill>
              <w14:schemeClr w14:val="tx1"/>
            </w14:solidFill>
          </w14:textFill>
        </w:rPr>
        <w:t>系统</w:t>
      </w:r>
      <w:bookmarkEnd w:id="243"/>
      <w:bookmarkEnd w:id="244"/>
    </w:p>
    <w:p w14:paraId="755AF2CD">
      <w:pPr>
        <w:pStyle w:val="26"/>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主要包括设备管理、设备巡检、物资管理、仓库管理、生产管理等功能。风险等级一般</w:t>
      </w:r>
      <w:r>
        <w:rPr>
          <w:rFonts w:hAnsi="宋体"/>
          <w:color w:val="000000" w:themeColor="text1"/>
          <w:szCs w:val="21"/>
          <w14:textFill>
            <w14:solidFill>
              <w14:schemeClr w14:val="tx1"/>
            </w14:solidFill>
          </w14:textFill>
        </w:rPr>
        <w:t>定为第</w:t>
      </w:r>
      <w:r>
        <w:rPr>
          <w:rFonts w:hint="eastAsia" w:hAnsi="宋体"/>
          <w:color w:val="000000" w:themeColor="text1"/>
          <w:szCs w:val="21"/>
          <w14:textFill>
            <w14:solidFill>
              <w14:schemeClr w14:val="tx1"/>
            </w14:solidFill>
          </w14:textFill>
        </w:rPr>
        <w:t>二</w:t>
      </w:r>
      <w:r>
        <w:rPr>
          <w:rFonts w:hAnsi="宋体"/>
          <w:color w:val="000000" w:themeColor="text1"/>
          <w:szCs w:val="21"/>
          <w14:textFill>
            <w14:solidFill>
              <w14:schemeClr w14:val="tx1"/>
            </w14:solidFill>
          </w14:textFill>
        </w:rPr>
        <w:t>级</w:t>
      </w:r>
      <w:r>
        <w:rPr>
          <w:rFonts w:hint="eastAsia" w:hAnsi="宋体"/>
          <w:color w:val="000000" w:themeColor="text1"/>
          <w:szCs w:val="21"/>
          <w14:textFill>
            <w14:solidFill>
              <w14:schemeClr w14:val="tx1"/>
            </w14:solidFill>
          </w14:textFill>
        </w:rPr>
        <w:t>。</w:t>
      </w:r>
    </w:p>
    <w:p w14:paraId="3D218CCC">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245" w:name="_Toc207032570"/>
      <w:bookmarkStart w:id="246" w:name="_Toc1120407417"/>
      <w:r>
        <w:rPr>
          <w:rFonts w:hint="eastAsia" w:ascii="黑体" w:hAnsi="黑体" w:eastAsia="黑体"/>
          <w:color w:val="000000" w:themeColor="text1"/>
          <w:szCs w:val="21"/>
          <w14:textFill>
            <w14:solidFill>
              <w14:schemeClr w14:val="tx1"/>
            </w14:solidFill>
          </w14:textFill>
        </w:rPr>
        <w:t>A</w:t>
      </w:r>
      <w:r>
        <w:rPr>
          <w:rFonts w:ascii="黑体" w:hAnsi="黑体" w:eastAsia="黑体"/>
          <w:color w:val="000000" w:themeColor="text1"/>
          <w:szCs w:val="21"/>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4</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生产调度管理</w:t>
      </w:r>
      <w:r>
        <w:rPr>
          <w:rFonts w:ascii="黑体" w:hAnsi="黑体" w:eastAsia="黑体"/>
          <w:color w:val="000000" w:themeColor="text1"/>
          <w:szCs w:val="21"/>
          <w14:textFill>
            <w14:solidFill>
              <w14:schemeClr w14:val="tx1"/>
            </w14:solidFill>
          </w14:textFill>
        </w:rPr>
        <w:t>系统</w:t>
      </w:r>
      <w:bookmarkEnd w:id="245"/>
      <w:bookmarkEnd w:id="246"/>
    </w:p>
    <w:p w14:paraId="4B233E5B">
      <w:pPr>
        <w:pStyle w:val="26"/>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生产调度管理系统风险等级见表A.3</w:t>
      </w:r>
    </w:p>
    <w:p w14:paraId="221C1781">
      <w:pPr>
        <w:pStyle w:val="3"/>
        <w:spacing w:line="240" w:lineRule="auto"/>
        <w:jc w:val="center"/>
        <w:rPr>
          <w:rFonts w:ascii="黑体" w:hAnsi="黑体"/>
          <w:color w:val="000000" w:themeColor="text1"/>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表 A.3 生产调度管理系统风险等级表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693"/>
        <w:gridCol w:w="2631"/>
      </w:tblGrid>
      <w:tr w14:paraId="3CE4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2ABE7FAA">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规模 X</w:t>
            </w:r>
          </w:p>
        </w:tc>
        <w:tc>
          <w:tcPr>
            <w:tcW w:w="2693" w:type="dxa"/>
          </w:tcPr>
          <w:p w14:paraId="69346164">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只能监测数据</w:t>
            </w:r>
          </w:p>
        </w:tc>
        <w:tc>
          <w:tcPr>
            <w:tcW w:w="2631" w:type="dxa"/>
          </w:tcPr>
          <w:p w14:paraId="198921DB">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能远程监控或设置运行参数</w:t>
            </w:r>
          </w:p>
        </w:tc>
      </w:tr>
      <w:tr w14:paraId="0BDB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27996B35">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X＜5万m</w:t>
            </w:r>
            <w:r>
              <w:rPr>
                <w:rFonts w:hint="eastAsia" w:ascii="宋体" w:hAnsi="宋体"/>
                <w:color w:val="000000"/>
                <w:kern w:val="0"/>
                <w:sz w:val="18"/>
                <w:szCs w:val="18"/>
                <w:vertAlign w:val="superscript"/>
              </w:rPr>
              <w:t>3</w:t>
            </w:r>
            <w:r>
              <w:rPr>
                <w:rFonts w:hint="eastAsia" w:ascii="宋体" w:hAnsi="宋体"/>
                <w:color w:val="000000"/>
                <w:kern w:val="0"/>
                <w:sz w:val="18"/>
                <w:szCs w:val="18"/>
              </w:rPr>
              <w:t>/d</w:t>
            </w:r>
          </w:p>
        </w:tc>
        <w:tc>
          <w:tcPr>
            <w:tcW w:w="2693" w:type="dxa"/>
          </w:tcPr>
          <w:p w14:paraId="43B29B2F">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第一级</w:t>
            </w:r>
          </w:p>
        </w:tc>
        <w:tc>
          <w:tcPr>
            <w:tcW w:w="2631" w:type="dxa"/>
          </w:tcPr>
          <w:p w14:paraId="35F82621">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第二级</w:t>
            </w:r>
          </w:p>
        </w:tc>
      </w:tr>
      <w:tr w14:paraId="43CF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7F02F5B7">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5万m</w:t>
            </w:r>
            <w:r>
              <w:rPr>
                <w:rFonts w:hint="eastAsia" w:ascii="宋体" w:hAnsi="宋体"/>
                <w:color w:val="000000"/>
                <w:kern w:val="0"/>
                <w:sz w:val="18"/>
                <w:szCs w:val="18"/>
                <w:vertAlign w:val="superscript"/>
              </w:rPr>
              <w:t>3</w:t>
            </w:r>
            <w:r>
              <w:rPr>
                <w:rFonts w:hint="eastAsia" w:ascii="宋体" w:hAnsi="宋体"/>
                <w:color w:val="000000"/>
                <w:kern w:val="0"/>
                <w:sz w:val="18"/>
                <w:szCs w:val="18"/>
              </w:rPr>
              <w:t>/d≤X＜30万m</w:t>
            </w:r>
            <w:r>
              <w:rPr>
                <w:rFonts w:hint="eastAsia" w:ascii="宋体" w:hAnsi="宋体"/>
                <w:color w:val="000000"/>
                <w:kern w:val="0"/>
                <w:sz w:val="18"/>
                <w:szCs w:val="18"/>
                <w:vertAlign w:val="superscript"/>
              </w:rPr>
              <w:t>3</w:t>
            </w:r>
            <w:r>
              <w:rPr>
                <w:rFonts w:hint="eastAsia" w:ascii="宋体" w:hAnsi="宋体"/>
                <w:color w:val="000000"/>
                <w:kern w:val="0"/>
                <w:sz w:val="18"/>
                <w:szCs w:val="18"/>
              </w:rPr>
              <w:t>/d</w:t>
            </w:r>
          </w:p>
        </w:tc>
        <w:tc>
          <w:tcPr>
            <w:tcW w:w="2693" w:type="dxa"/>
          </w:tcPr>
          <w:p w14:paraId="2F9969DD">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第二级</w:t>
            </w:r>
          </w:p>
        </w:tc>
        <w:tc>
          <w:tcPr>
            <w:tcW w:w="2631" w:type="dxa"/>
          </w:tcPr>
          <w:p w14:paraId="2B7F0AD8">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第三级</w:t>
            </w:r>
          </w:p>
        </w:tc>
      </w:tr>
      <w:tr w14:paraId="65B5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14E61DAE">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X≥30万m</w:t>
            </w:r>
            <w:r>
              <w:rPr>
                <w:rFonts w:hint="eastAsia" w:ascii="宋体" w:hAnsi="宋体"/>
                <w:color w:val="000000"/>
                <w:kern w:val="0"/>
                <w:sz w:val="18"/>
                <w:szCs w:val="18"/>
                <w:vertAlign w:val="superscript"/>
              </w:rPr>
              <w:t>3</w:t>
            </w:r>
            <w:r>
              <w:rPr>
                <w:rFonts w:hint="eastAsia" w:ascii="宋体" w:hAnsi="宋体"/>
                <w:color w:val="000000"/>
                <w:kern w:val="0"/>
                <w:sz w:val="18"/>
                <w:szCs w:val="18"/>
              </w:rPr>
              <w:t>/d</w:t>
            </w:r>
          </w:p>
        </w:tc>
        <w:tc>
          <w:tcPr>
            <w:tcW w:w="2693" w:type="dxa"/>
          </w:tcPr>
          <w:p w14:paraId="5B0D5BC0">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第三级</w:t>
            </w:r>
          </w:p>
        </w:tc>
        <w:tc>
          <w:tcPr>
            <w:tcW w:w="2631" w:type="dxa"/>
          </w:tcPr>
          <w:p w14:paraId="2A85AFCA">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kern w:val="0"/>
                <w:sz w:val="18"/>
                <w:szCs w:val="18"/>
              </w:rPr>
              <w:t>第三级</w:t>
            </w:r>
          </w:p>
        </w:tc>
      </w:tr>
    </w:tbl>
    <w:p w14:paraId="04BFBAB0">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247" w:name="_Toc207032571"/>
      <w:bookmarkStart w:id="248" w:name="_Toc1550840623"/>
      <w:r>
        <w:rPr>
          <w:rFonts w:hint="eastAsia" w:ascii="黑体" w:hAnsi="黑体" w:eastAsia="黑体"/>
          <w:color w:val="000000" w:themeColor="text1"/>
          <w:szCs w:val="21"/>
          <w14:textFill>
            <w14:solidFill>
              <w14:schemeClr w14:val="tx1"/>
            </w14:solidFill>
          </w14:textFill>
        </w:rPr>
        <w:t>A</w:t>
      </w:r>
      <w:r>
        <w:rPr>
          <w:rFonts w:ascii="黑体" w:hAnsi="黑体" w:eastAsia="黑体"/>
          <w:color w:val="000000" w:themeColor="text1"/>
          <w:szCs w:val="21"/>
          <w14:textFill>
            <w14:solidFill>
              <w14:schemeClr w14:val="tx1"/>
            </w14:solidFill>
          </w14:textFill>
        </w:rPr>
        <w:t xml:space="preserve">.4 </w:t>
      </w:r>
      <w:r>
        <w:rPr>
          <w:rFonts w:hint="eastAsia" w:ascii="黑体" w:hAnsi="黑体" w:eastAsia="黑体"/>
          <w:color w:val="000000" w:themeColor="text1"/>
          <w:szCs w:val="21"/>
          <w14:textFill>
            <w14:solidFill>
              <w14:schemeClr w14:val="tx1"/>
            </w14:solidFill>
          </w14:textFill>
        </w:rPr>
        <w:t>供排水管网地理信息系统</w:t>
      </w:r>
      <w:bookmarkEnd w:id="247"/>
      <w:bookmarkEnd w:id="248"/>
    </w:p>
    <w:p w14:paraId="4A699FCB">
      <w:pPr>
        <w:pStyle w:val="26"/>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系统</w:t>
      </w:r>
      <w:r>
        <w:rPr>
          <w:rFonts w:hAnsi="宋体"/>
          <w:color w:val="000000" w:themeColor="text1"/>
          <w:szCs w:val="21"/>
          <w14:textFill>
            <w14:solidFill>
              <w14:schemeClr w14:val="tx1"/>
            </w14:solidFill>
          </w14:textFill>
        </w:rPr>
        <w:t>涉</w:t>
      </w:r>
      <w:r>
        <w:rPr>
          <w:rFonts w:hint="eastAsia" w:hAnsi="宋体"/>
          <w:color w:val="000000" w:themeColor="text1"/>
          <w:szCs w:val="21"/>
          <w14:textFill>
            <w14:solidFill>
              <w14:schemeClr w14:val="tx1"/>
            </w14:solidFill>
          </w14:textFill>
        </w:rPr>
        <w:t>及管网坐标等</w:t>
      </w:r>
      <w:r>
        <w:rPr>
          <w:rFonts w:hAnsi="宋体"/>
          <w:color w:val="000000" w:themeColor="text1"/>
          <w:szCs w:val="21"/>
          <w14:textFill>
            <w14:solidFill>
              <w14:schemeClr w14:val="tx1"/>
            </w14:solidFill>
          </w14:textFill>
        </w:rPr>
        <w:t>敏感信息，</w:t>
      </w:r>
      <w:r>
        <w:rPr>
          <w:rFonts w:hint="eastAsia" w:hAnsi="宋体"/>
          <w:color w:val="000000" w:themeColor="text1"/>
          <w:szCs w:val="21"/>
          <w14:textFill>
            <w14:solidFill>
              <w14:schemeClr w14:val="tx1"/>
            </w14:solidFill>
          </w14:textFill>
        </w:rPr>
        <w:t>风险等级一般</w:t>
      </w:r>
      <w:r>
        <w:rPr>
          <w:rFonts w:hAnsi="宋体"/>
          <w:color w:val="000000" w:themeColor="text1"/>
          <w:szCs w:val="21"/>
          <w14:textFill>
            <w14:solidFill>
              <w14:schemeClr w14:val="tx1"/>
            </w14:solidFill>
          </w14:textFill>
        </w:rPr>
        <w:t>定为第</w:t>
      </w:r>
      <w:r>
        <w:rPr>
          <w:rFonts w:hint="eastAsia" w:hAnsi="宋体"/>
          <w:color w:val="000000" w:themeColor="text1"/>
          <w:szCs w:val="21"/>
          <w14:textFill>
            <w14:solidFill>
              <w14:schemeClr w14:val="tx1"/>
            </w14:solidFill>
          </w14:textFill>
        </w:rPr>
        <w:t>三</w:t>
      </w:r>
      <w:r>
        <w:rPr>
          <w:rFonts w:hAnsi="宋体"/>
          <w:color w:val="000000" w:themeColor="text1"/>
          <w:szCs w:val="21"/>
          <w14:textFill>
            <w14:solidFill>
              <w14:schemeClr w14:val="tx1"/>
            </w14:solidFill>
          </w14:textFill>
        </w:rPr>
        <w:t>级</w:t>
      </w:r>
      <w:r>
        <w:rPr>
          <w:rFonts w:hint="eastAsia" w:hAnsi="宋体"/>
          <w:color w:val="000000" w:themeColor="text1"/>
          <w:szCs w:val="21"/>
          <w14:textFill>
            <w14:solidFill>
              <w14:schemeClr w14:val="tx1"/>
            </w14:solidFill>
          </w14:textFill>
        </w:rPr>
        <w:t>。</w:t>
      </w:r>
    </w:p>
    <w:p w14:paraId="51240EE1">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249" w:name="_Toc969327122"/>
      <w:bookmarkStart w:id="250" w:name="_Toc207032572"/>
      <w:r>
        <w:rPr>
          <w:rFonts w:hint="eastAsia" w:ascii="黑体" w:hAnsi="黑体" w:eastAsia="黑体"/>
          <w:color w:val="000000" w:themeColor="text1"/>
          <w:szCs w:val="21"/>
          <w14:textFill>
            <w14:solidFill>
              <w14:schemeClr w14:val="tx1"/>
            </w14:solidFill>
          </w14:textFill>
        </w:rPr>
        <w:t>A</w:t>
      </w:r>
      <w:r>
        <w:rPr>
          <w:rFonts w:ascii="黑体" w:hAnsi="黑体" w:eastAsia="黑体"/>
          <w:color w:val="000000" w:themeColor="text1"/>
          <w:szCs w:val="21"/>
          <w14:textFill>
            <w14:solidFill>
              <w14:schemeClr w14:val="tx1"/>
            </w14:solidFill>
          </w14:textFill>
        </w:rPr>
        <w:t xml:space="preserve">.5 </w:t>
      </w:r>
      <w:r>
        <w:rPr>
          <w:rFonts w:hint="eastAsia" w:ascii="黑体" w:hAnsi="黑体" w:eastAsia="黑体"/>
          <w:color w:val="000000" w:themeColor="text1"/>
          <w:szCs w:val="21"/>
          <w14:textFill>
            <w14:solidFill>
              <w14:schemeClr w14:val="tx1"/>
            </w14:solidFill>
          </w14:textFill>
        </w:rPr>
        <w:t>DMA分区计量管理</w:t>
      </w:r>
      <w:r>
        <w:rPr>
          <w:rFonts w:ascii="黑体" w:hAnsi="黑体" w:eastAsia="黑体"/>
          <w:color w:val="000000" w:themeColor="text1"/>
          <w:szCs w:val="21"/>
          <w14:textFill>
            <w14:solidFill>
              <w14:schemeClr w14:val="tx1"/>
            </w14:solidFill>
          </w14:textFill>
        </w:rPr>
        <w:t>系统</w:t>
      </w:r>
      <w:bookmarkEnd w:id="249"/>
      <w:bookmarkEnd w:id="250"/>
    </w:p>
    <w:p w14:paraId="6F5BA94C">
      <w:pPr>
        <w:pStyle w:val="26"/>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系统</w:t>
      </w:r>
      <w:r>
        <w:rPr>
          <w:rFonts w:hAnsi="宋体"/>
          <w:color w:val="000000" w:themeColor="text1"/>
          <w:szCs w:val="21"/>
          <w14:textFill>
            <w14:solidFill>
              <w14:schemeClr w14:val="tx1"/>
            </w14:solidFill>
          </w14:textFill>
        </w:rPr>
        <w:t>涉</w:t>
      </w:r>
      <w:r>
        <w:rPr>
          <w:rFonts w:hint="eastAsia" w:hAnsi="宋体"/>
          <w:color w:val="000000" w:themeColor="text1"/>
          <w:szCs w:val="21"/>
          <w14:textFill>
            <w14:solidFill>
              <w14:schemeClr w14:val="tx1"/>
            </w14:solidFill>
          </w14:textFill>
        </w:rPr>
        <w:t>及管网坐标等</w:t>
      </w:r>
      <w:r>
        <w:rPr>
          <w:rFonts w:hAnsi="宋体"/>
          <w:color w:val="000000" w:themeColor="text1"/>
          <w:szCs w:val="21"/>
          <w14:textFill>
            <w14:solidFill>
              <w14:schemeClr w14:val="tx1"/>
            </w14:solidFill>
          </w14:textFill>
        </w:rPr>
        <w:t>敏感信息，</w:t>
      </w:r>
      <w:r>
        <w:rPr>
          <w:rFonts w:hint="eastAsia" w:hAnsi="宋体"/>
          <w:color w:val="000000" w:themeColor="text1"/>
          <w:szCs w:val="21"/>
          <w14:textFill>
            <w14:solidFill>
              <w14:schemeClr w14:val="tx1"/>
            </w14:solidFill>
          </w14:textFill>
        </w:rPr>
        <w:t>风险等级一般</w:t>
      </w:r>
      <w:r>
        <w:rPr>
          <w:rFonts w:hAnsi="宋体"/>
          <w:color w:val="000000" w:themeColor="text1"/>
          <w:szCs w:val="21"/>
          <w14:textFill>
            <w14:solidFill>
              <w14:schemeClr w14:val="tx1"/>
            </w14:solidFill>
          </w14:textFill>
        </w:rPr>
        <w:t>定为第</w:t>
      </w:r>
      <w:r>
        <w:rPr>
          <w:rFonts w:hint="eastAsia" w:hAnsi="宋体"/>
          <w:color w:val="000000" w:themeColor="text1"/>
          <w:szCs w:val="21"/>
          <w14:textFill>
            <w14:solidFill>
              <w14:schemeClr w14:val="tx1"/>
            </w14:solidFill>
          </w14:textFill>
        </w:rPr>
        <w:t>三</w:t>
      </w:r>
      <w:r>
        <w:rPr>
          <w:rFonts w:hAnsi="宋体"/>
          <w:color w:val="000000" w:themeColor="text1"/>
          <w:szCs w:val="21"/>
          <w14:textFill>
            <w14:solidFill>
              <w14:schemeClr w14:val="tx1"/>
            </w14:solidFill>
          </w14:textFill>
        </w:rPr>
        <w:t>级</w:t>
      </w:r>
      <w:r>
        <w:rPr>
          <w:rFonts w:hint="eastAsia" w:hAnsi="宋体"/>
          <w:color w:val="000000" w:themeColor="text1"/>
          <w:szCs w:val="21"/>
          <w14:textFill>
            <w14:solidFill>
              <w14:schemeClr w14:val="tx1"/>
            </w14:solidFill>
          </w14:textFill>
        </w:rPr>
        <w:t>。</w:t>
      </w:r>
    </w:p>
    <w:p w14:paraId="2A7AC777">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251" w:name="_Toc669993312"/>
      <w:bookmarkStart w:id="252" w:name="_Toc207032573"/>
      <w:r>
        <w:rPr>
          <w:rFonts w:hint="eastAsia" w:ascii="黑体" w:hAnsi="黑体" w:eastAsia="黑体"/>
          <w:color w:val="000000" w:themeColor="text1"/>
          <w:szCs w:val="21"/>
          <w14:textFill>
            <w14:solidFill>
              <w14:schemeClr w14:val="tx1"/>
            </w14:solidFill>
          </w14:textFill>
        </w:rPr>
        <w:t>A</w:t>
      </w:r>
      <w:r>
        <w:rPr>
          <w:rFonts w:ascii="黑体" w:hAnsi="黑体" w:eastAsia="黑体"/>
          <w:color w:val="000000" w:themeColor="text1"/>
          <w:szCs w:val="21"/>
          <w14:textFill>
            <w14:solidFill>
              <w14:schemeClr w14:val="tx1"/>
            </w14:solidFill>
          </w14:textFill>
        </w:rPr>
        <w:t xml:space="preserve">.6 </w:t>
      </w:r>
      <w:r>
        <w:rPr>
          <w:rFonts w:hint="eastAsia" w:ascii="黑体" w:hAnsi="黑体" w:eastAsia="黑体"/>
          <w:color w:val="000000" w:themeColor="text1"/>
          <w:szCs w:val="21"/>
          <w14:textFill>
            <w14:solidFill>
              <w14:schemeClr w14:val="tx1"/>
            </w14:solidFill>
          </w14:textFill>
        </w:rPr>
        <w:t>报装管理</w:t>
      </w:r>
      <w:r>
        <w:rPr>
          <w:rFonts w:ascii="黑体" w:hAnsi="黑体" w:eastAsia="黑体"/>
          <w:color w:val="000000" w:themeColor="text1"/>
          <w:szCs w:val="21"/>
          <w14:textFill>
            <w14:solidFill>
              <w14:schemeClr w14:val="tx1"/>
            </w14:solidFill>
          </w14:textFill>
        </w:rPr>
        <w:t>系统</w:t>
      </w:r>
      <w:bookmarkEnd w:id="251"/>
      <w:bookmarkEnd w:id="252"/>
    </w:p>
    <w:p w14:paraId="4342E7A3">
      <w:pPr>
        <w:pStyle w:val="26"/>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系统</w:t>
      </w:r>
      <w:r>
        <w:rPr>
          <w:rFonts w:hAnsi="宋体"/>
          <w:color w:val="000000" w:themeColor="text1"/>
          <w:szCs w:val="21"/>
          <w14:textFill>
            <w14:solidFill>
              <w14:schemeClr w14:val="tx1"/>
            </w14:solidFill>
          </w14:textFill>
        </w:rPr>
        <w:t>涉</w:t>
      </w:r>
      <w:r>
        <w:rPr>
          <w:rFonts w:hint="eastAsia" w:hAnsi="宋体"/>
          <w:color w:val="000000" w:themeColor="text1"/>
          <w:szCs w:val="21"/>
          <w14:textFill>
            <w14:solidFill>
              <w14:schemeClr w14:val="tx1"/>
            </w14:solidFill>
          </w14:textFill>
        </w:rPr>
        <w:t>及用户个人信息（如：身份证号、地址、电话、照片等），一般按照用水户数量划分风险等级，见表A.4</w:t>
      </w:r>
    </w:p>
    <w:p w14:paraId="78BD3606">
      <w:pPr>
        <w:pStyle w:val="3"/>
        <w:spacing w:line="240" w:lineRule="auto"/>
        <w:jc w:val="center"/>
        <w:rPr>
          <w:rFonts w:ascii="黑体" w:hAnsi="黑体"/>
          <w:color w:val="000000" w:themeColor="text1"/>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表 A.4报装管理系统风险等级表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693"/>
      </w:tblGrid>
      <w:tr w14:paraId="1953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14:paraId="0DCE6DE8">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xml:space="preserve">用水户数量 </w:t>
            </w:r>
            <w:r>
              <w:rPr>
                <w:rFonts w:ascii="宋体" w:hAnsi="宋体"/>
                <w:color w:val="000000" w:themeColor="text1"/>
                <w:kern w:val="0"/>
                <w:sz w:val="18"/>
                <w:szCs w:val="18"/>
                <w14:textFill>
                  <w14:solidFill>
                    <w14:schemeClr w14:val="tx1"/>
                  </w14:solidFill>
                </w14:textFill>
              </w:rPr>
              <w:t>X</w:t>
            </w:r>
          </w:p>
        </w:tc>
        <w:tc>
          <w:tcPr>
            <w:tcW w:w="2693" w:type="dxa"/>
          </w:tcPr>
          <w:p w14:paraId="435B1C25">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风险等级</w:t>
            </w:r>
          </w:p>
        </w:tc>
      </w:tr>
      <w:tr w14:paraId="5A2A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14:paraId="3840CE93">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X＜5000</w:t>
            </w:r>
          </w:p>
        </w:tc>
        <w:tc>
          <w:tcPr>
            <w:tcW w:w="2693" w:type="dxa"/>
          </w:tcPr>
          <w:p w14:paraId="2941BE36">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第</w:t>
            </w:r>
            <w:r>
              <w:rPr>
                <w:rFonts w:hint="eastAsia" w:ascii="宋体" w:hAnsi="宋体"/>
                <w:color w:val="000000" w:themeColor="text1"/>
                <w:kern w:val="0"/>
                <w:sz w:val="18"/>
                <w:szCs w:val="18"/>
                <w14:textFill>
                  <w14:solidFill>
                    <w14:schemeClr w14:val="tx1"/>
                  </w14:solidFill>
                </w14:textFill>
              </w:rPr>
              <w:t>二</w:t>
            </w:r>
            <w:r>
              <w:rPr>
                <w:rFonts w:ascii="宋体" w:hAnsi="宋体"/>
                <w:color w:val="000000" w:themeColor="text1"/>
                <w:kern w:val="0"/>
                <w:sz w:val="18"/>
                <w:szCs w:val="18"/>
                <w14:textFill>
                  <w14:solidFill>
                    <w14:schemeClr w14:val="tx1"/>
                  </w14:solidFill>
                </w14:textFill>
              </w:rPr>
              <w:t>级</w:t>
            </w:r>
          </w:p>
        </w:tc>
      </w:tr>
      <w:tr w14:paraId="7EE3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14:paraId="3B8CAA63">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X≥5000</w:t>
            </w:r>
          </w:p>
        </w:tc>
        <w:tc>
          <w:tcPr>
            <w:tcW w:w="2693" w:type="dxa"/>
          </w:tcPr>
          <w:p w14:paraId="1E7162AC">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第</w:t>
            </w:r>
            <w:r>
              <w:rPr>
                <w:rFonts w:hint="eastAsia" w:ascii="宋体" w:hAnsi="宋体"/>
                <w:color w:val="000000" w:themeColor="text1"/>
                <w:kern w:val="0"/>
                <w:sz w:val="18"/>
                <w:szCs w:val="18"/>
                <w14:textFill>
                  <w14:solidFill>
                    <w14:schemeClr w14:val="tx1"/>
                  </w14:solidFill>
                </w14:textFill>
              </w:rPr>
              <w:t>三</w:t>
            </w:r>
            <w:r>
              <w:rPr>
                <w:rFonts w:ascii="宋体" w:hAnsi="宋体"/>
                <w:color w:val="000000" w:themeColor="text1"/>
                <w:kern w:val="0"/>
                <w:sz w:val="18"/>
                <w:szCs w:val="18"/>
                <w14:textFill>
                  <w14:solidFill>
                    <w14:schemeClr w14:val="tx1"/>
                  </w14:solidFill>
                </w14:textFill>
              </w:rPr>
              <w:t>级</w:t>
            </w:r>
          </w:p>
        </w:tc>
      </w:tr>
    </w:tbl>
    <w:p w14:paraId="69E01BBD">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253" w:name="_Toc1320833563"/>
      <w:bookmarkStart w:id="254" w:name="_Toc207032574"/>
      <w:r>
        <w:rPr>
          <w:rFonts w:hint="eastAsia" w:ascii="黑体" w:hAnsi="黑体" w:eastAsia="黑体"/>
          <w:color w:val="000000" w:themeColor="text1"/>
          <w:szCs w:val="21"/>
          <w14:textFill>
            <w14:solidFill>
              <w14:schemeClr w14:val="tx1"/>
            </w14:solidFill>
          </w14:textFill>
        </w:rPr>
        <w:t>A</w:t>
      </w:r>
      <w:r>
        <w:rPr>
          <w:rFonts w:ascii="黑体" w:hAnsi="黑体" w:eastAsia="黑体"/>
          <w:color w:val="000000" w:themeColor="text1"/>
          <w:szCs w:val="21"/>
          <w14:textFill>
            <w14:solidFill>
              <w14:schemeClr w14:val="tx1"/>
            </w14:solidFill>
          </w14:textFill>
        </w:rPr>
        <w:t xml:space="preserve">.7 </w:t>
      </w:r>
      <w:r>
        <w:rPr>
          <w:rFonts w:hint="eastAsia" w:ascii="黑体" w:hAnsi="黑体" w:eastAsia="黑体"/>
          <w:color w:val="000000" w:themeColor="text1"/>
          <w:szCs w:val="21"/>
          <w14:textFill>
            <w14:solidFill>
              <w14:schemeClr w14:val="tx1"/>
            </w14:solidFill>
          </w14:textFill>
        </w:rPr>
        <w:t>抄表管理</w:t>
      </w:r>
      <w:r>
        <w:rPr>
          <w:rFonts w:ascii="黑体" w:hAnsi="黑体" w:eastAsia="黑体"/>
          <w:color w:val="000000" w:themeColor="text1"/>
          <w:szCs w:val="21"/>
          <w14:textFill>
            <w14:solidFill>
              <w14:schemeClr w14:val="tx1"/>
            </w14:solidFill>
          </w14:textFill>
        </w:rPr>
        <w:t>系统</w:t>
      </w:r>
      <w:bookmarkEnd w:id="253"/>
      <w:bookmarkEnd w:id="254"/>
    </w:p>
    <w:p w14:paraId="55950936">
      <w:pPr>
        <w:pStyle w:val="26"/>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系统</w:t>
      </w:r>
      <w:r>
        <w:rPr>
          <w:rFonts w:hAnsi="宋体"/>
          <w:color w:val="000000" w:themeColor="text1"/>
          <w:szCs w:val="21"/>
          <w14:textFill>
            <w14:solidFill>
              <w14:schemeClr w14:val="tx1"/>
            </w14:solidFill>
          </w14:textFill>
        </w:rPr>
        <w:t>涉</w:t>
      </w:r>
      <w:r>
        <w:rPr>
          <w:rFonts w:hint="eastAsia" w:hAnsi="宋体"/>
          <w:color w:val="000000" w:themeColor="text1"/>
          <w:szCs w:val="21"/>
          <w14:textFill>
            <w14:solidFill>
              <w14:schemeClr w14:val="tx1"/>
            </w14:solidFill>
          </w14:textFill>
        </w:rPr>
        <w:t>及用户个人信息（如：身份证号、地址、电话、照片等），一般按照用水户数量划分风险等级，见表A.5</w:t>
      </w:r>
    </w:p>
    <w:p w14:paraId="518F3781">
      <w:pPr>
        <w:pStyle w:val="3"/>
        <w:spacing w:line="240" w:lineRule="auto"/>
        <w:jc w:val="center"/>
        <w:rPr>
          <w:rFonts w:ascii="黑体" w:hAnsi="黑体"/>
          <w:color w:val="000000" w:themeColor="text1"/>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表 A.5 抄表管理系统风险等级表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693"/>
      </w:tblGrid>
      <w:tr w14:paraId="5D20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14:paraId="7E51365D">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xml:space="preserve">用水户数量 </w:t>
            </w:r>
            <w:r>
              <w:rPr>
                <w:rFonts w:ascii="宋体" w:hAnsi="宋体"/>
                <w:color w:val="000000" w:themeColor="text1"/>
                <w:kern w:val="0"/>
                <w:sz w:val="18"/>
                <w:szCs w:val="18"/>
                <w14:textFill>
                  <w14:solidFill>
                    <w14:schemeClr w14:val="tx1"/>
                  </w14:solidFill>
                </w14:textFill>
              </w:rPr>
              <w:t>X</w:t>
            </w:r>
          </w:p>
        </w:tc>
        <w:tc>
          <w:tcPr>
            <w:tcW w:w="2693" w:type="dxa"/>
          </w:tcPr>
          <w:p w14:paraId="0C9F7A36">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风险等级</w:t>
            </w:r>
          </w:p>
        </w:tc>
      </w:tr>
      <w:tr w14:paraId="4446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14:paraId="33177E41">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X＜5000</w:t>
            </w:r>
          </w:p>
        </w:tc>
        <w:tc>
          <w:tcPr>
            <w:tcW w:w="2693" w:type="dxa"/>
          </w:tcPr>
          <w:p w14:paraId="27535DE7">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第</w:t>
            </w:r>
            <w:r>
              <w:rPr>
                <w:rFonts w:hint="eastAsia" w:ascii="宋体" w:hAnsi="宋体"/>
                <w:color w:val="000000" w:themeColor="text1"/>
                <w:kern w:val="0"/>
                <w:sz w:val="18"/>
                <w:szCs w:val="18"/>
                <w14:textFill>
                  <w14:solidFill>
                    <w14:schemeClr w14:val="tx1"/>
                  </w14:solidFill>
                </w14:textFill>
              </w:rPr>
              <w:t>二</w:t>
            </w:r>
            <w:r>
              <w:rPr>
                <w:rFonts w:ascii="宋体" w:hAnsi="宋体"/>
                <w:color w:val="000000" w:themeColor="text1"/>
                <w:kern w:val="0"/>
                <w:sz w:val="18"/>
                <w:szCs w:val="18"/>
                <w14:textFill>
                  <w14:solidFill>
                    <w14:schemeClr w14:val="tx1"/>
                  </w14:solidFill>
                </w14:textFill>
              </w:rPr>
              <w:t>级</w:t>
            </w:r>
          </w:p>
        </w:tc>
      </w:tr>
      <w:tr w14:paraId="3642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14:paraId="557A0C4C">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X≥5000</w:t>
            </w:r>
          </w:p>
        </w:tc>
        <w:tc>
          <w:tcPr>
            <w:tcW w:w="2693" w:type="dxa"/>
          </w:tcPr>
          <w:p w14:paraId="46369015">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第</w:t>
            </w:r>
            <w:r>
              <w:rPr>
                <w:rFonts w:hint="eastAsia" w:ascii="宋体" w:hAnsi="宋体"/>
                <w:color w:val="000000" w:themeColor="text1"/>
                <w:kern w:val="0"/>
                <w:sz w:val="18"/>
                <w:szCs w:val="18"/>
                <w14:textFill>
                  <w14:solidFill>
                    <w14:schemeClr w14:val="tx1"/>
                  </w14:solidFill>
                </w14:textFill>
              </w:rPr>
              <w:t>三</w:t>
            </w:r>
            <w:r>
              <w:rPr>
                <w:rFonts w:ascii="宋体" w:hAnsi="宋体"/>
                <w:color w:val="000000" w:themeColor="text1"/>
                <w:kern w:val="0"/>
                <w:sz w:val="18"/>
                <w:szCs w:val="18"/>
                <w14:textFill>
                  <w14:solidFill>
                    <w14:schemeClr w14:val="tx1"/>
                  </w14:solidFill>
                </w14:textFill>
              </w:rPr>
              <w:t>级</w:t>
            </w:r>
          </w:p>
        </w:tc>
      </w:tr>
    </w:tbl>
    <w:p w14:paraId="29683AD6">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255" w:name="_Toc711234302"/>
      <w:bookmarkStart w:id="256" w:name="_Toc207032575"/>
      <w:r>
        <w:rPr>
          <w:rFonts w:hint="eastAsia" w:ascii="黑体" w:hAnsi="黑体" w:eastAsia="黑体"/>
          <w:color w:val="000000" w:themeColor="text1"/>
          <w:szCs w:val="21"/>
          <w14:textFill>
            <w14:solidFill>
              <w14:schemeClr w14:val="tx1"/>
            </w14:solidFill>
          </w14:textFill>
        </w:rPr>
        <w:t>A</w:t>
      </w:r>
      <w:r>
        <w:rPr>
          <w:rFonts w:ascii="黑体" w:hAnsi="黑体" w:eastAsia="黑体"/>
          <w:color w:val="000000" w:themeColor="text1"/>
          <w:szCs w:val="21"/>
          <w14:textFill>
            <w14:solidFill>
              <w14:schemeClr w14:val="tx1"/>
            </w14:solidFill>
          </w14:textFill>
        </w:rPr>
        <w:t xml:space="preserve">.8 </w:t>
      </w:r>
      <w:r>
        <w:rPr>
          <w:rFonts w:hint="eastAsia" w:ascii="黑体" w:hAnsi="黑体" w:eastAsia="黑体"/>
          <w:color w:val="000000" w:themeColor="text1"/>
          <w:szCs w:val="21"/>
          <w14:textFill>
            <w14:solidFill>
              <w14:schemeClr w14:val="tx1"/>
            </w14:solidFill>
          </w14:textFill>
        </w:rPr>
        <w:t>收费管理</w:t>
      </w:r>
      <w:r>
        <w:rPr>
          <w:rFonts w:ascii="黑体" w:hAnsi="黑体" w:eastAsia="黑体"/>
          <w:color w:val="000000" w:themeColor="text1"/>
          <w:szCs w:val="21"/>
          <w14:textFill>
            <w14:solidFill>
              <w14:schemeClr w14:val="tx1"/>
            </w14:solidFill>
          </w14:textFill>
        </w:rPr>
        <w:t>系统</w:t>
      </w:r>
      <w:bookmarkEnd w:id="255"/>
      <w:bookmarkEnd w:id="256"/>
    </w:p>
    <w:p w14:paraId="1EA5E981">
      <w:pPr>
        <w:pStyle w:val="26"/>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系统</w:t>
      </w:r>
      <w:r>
        <w:rPr>
          <w:rFonts w:hAnsi="宋体"/>
          <w:color w:val="000000" w:themeColor="text1"/>
          <w:szCs w:val="21"/>
          <w14:textFill>
            <w14:solidFill>
              <w14:schemeClr w14:val="tx1"/>
            </w14:solidFill>
          </w14:textFill>
        </w:rPr>
        <w:t>涉</w:t>
      </w:r>
      <w:r>
        <w:rPr>
          <w:rFonts w:hint="eastAsia" w:hAnsi="宋体"/>
          <w:color w:val="000000" w:themeColor="text1"/>
          <w:szCs w:val="21"/>
          <w14:textFill>
            <w14:solidFill>
              <w14:schemeClr w14:val="tx1"/>
            </w14:solidFill>
          </w14:textFill>
        </w:rPr>
        <w:t>及用户个人信息（如：身份证号、地址、电话、照片等），一般按照用水户数量划分风险等级，见表A.6</w:t>
      </w:r>
    </w:p>
    <w:p w14:paraId="5DFBB175">
      <w:pPr>
        <w:pStyle w:val="3"/>
        <w:spacing w:line="240" w:lineRule="auto"/>
        <w:jc w:val="center"/>
        <w:rPr>
          <w:rFonts w:ascii="黑体" w:hAnsi="黑体"/>
          <w:color w:val="000000" w:themeColor="text1"/>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表 A.6 收费管理系统风险等级表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693"/>
      </w:tblGrid>
      <w:tr w14:paraId="739D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14:paraId="1BD3CD2B">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xml:space="preserve">用水户数量 </w:t>
            </w:r>
            <w:r>
              <w:rPr>
                <w:rFonts w:ascii="宋体" w:hAnsi="宋体"/>
                <w:color w:val="000000" w:themeColor="text1"/>
                <w:kern w:val="0"/>
                <w:sz w:val="18"/>
                <w:szCs w:val="18"/>
                <w14:textFill>
                  <w14:solidFill>
                    <w14:schemeClr w14:val="tx1"/>
                  </w14:solidFill>
                </w14:textFill>
              </w:rPr>
              <w:t>X</w:t>
            </w:r>
          </w:p>
        </w:tc>
        <w:tc>
          <w:tcPr>
            <w:tcW w:w="2693" w:type="dxa"/>
          </w:tcPr>
          <w:p w14:paraId="2772A12C">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风险等级</w:t>
            </w:r>
          </w:p>
        </w:tc>
      </w:tr>
      <w:tr w14:paraId="29EB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14:paraId="08791906">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X＜5000</w:t>
            </w:r>
          </w:p>
        </w:tc>
        <w:tc>
          <w:tcPr>
            <w:tcW w:w="2693" w:type="dxa"/>
          </w:tcPr>
          <w:p w14:paraId="28C1B28E">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第</w:t>
            </w:r>
            <w:r>
              <w:rPr>
                <w:rFonts w:hint="eastAsia" w:ascii="宋体" w:hAnsi="宋体"/>
                <w:color w:val="000000" w:themeColor="text1"/>
                <w:kern w:val="0"/>
                <w:sz w:val="18"/>
                <w:szCs w:val="18"/>
                <w14:textFill>
                  <w14:solidFill>
                    <w14:schemeClr w14:val="tx1"/>
                  </w14:solidFill>
                </w14:textFill>
              </w:rPr>
              <w:t>二</w:t>
            </w:r>
            <w:r>
              <w:rPr>
                <w:rFonts w:ascii="宋体" w:hAnsi="宋体"/>
                <w:color w:val="000000" w:themeColor="text1"/>
                <w:kern w:val="0"/>
                <w:sz w:val="18"/>
                <w:szCs w:val="18"/>
                <w14:textFill>
                  <w14:solidFill>
                    <w14:schemeClr w14:val="tx1"/>
                  </w14:solidFill>
                </w14:textFill>
              </w:rPr>
              <w:t>级</w:t>
            </w:r>
          </w:p>
        </w:tc>
      </w:tr>
      <w:tr w14:paraId="1565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14:paraId="517E3918">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X≥5000</w:t>
            </w:r>
          </w:p>
        </w:tc>
        <w:tc>
          <w:tcPr>
            <w:tcW w:w="2693" w:type="dxa"/>
          </w:tcPr>
          <w:p w14:paraId="72612F6C">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第</w:t>
            </w:r>
            <w:r>
              <w:rPr>
                <w:rFonts w:hint="eastAsia" w:ascii="宋体" w:hAnsi="宋体"/>
                <w:color w:val="000000" w:themeColor="text1"/>
                <w:kern w:val="0"/>
                <w:sz w:val="18"/>
                <w:szCs w:val="18"/>
                <w14:textFill>
                  <w14:solidFill>
                    <w14:schemeClr w14:val="tx1"/>
                  </w14:solidFill>
                </w14:textFill>
              </w:rPr>
              <w:t>三</w:t>
            </w:r>
            <w:r>
              <w:rPr>
                <w:rFonts w:ascii="宋体" w:hAnsi="宋体"/>
                <w:color w:val="000000" w:themeColor="text1"/>
                <w:kern w:val="0"/>
                <w:sz w:val="18"/>
                <w:szCs w:val="18"/>
                <w14:textFill>
                  <w14:solidFill>
                    <w14:schemeClr w14:val="tx1"/>
                  </w14:solidFill>
                </w14:textFill>
              </w:rPr>
              <w:t>级</w:t>
            </w:r>
          </w:p>
        </w:tc>
      </w:tr>
    </w:tbl>
    <w:p w14:paraId="67E39DBE">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257" w:name="_Toc820934512"/>
      <w:bookmarkStart w:id="258" w:name="_Toc207032576"/>
      <w:r>
        <w:rPr>
          <w:rFonts w:hint="eastAsia" w:ascii="黑体" w:hAnsi="黑体" w:eastAsia="黑体"/>
          <w:color w:val="000000" w:themeColor="text1"/>
          <w:szCs w:val="21"/>
          <w14:textFill>
            <w14:solidFill>
              <w14:schemeClr w14:val="tx1"/>
            </w14:solidFill>
          </w14:textFill>
        </w:rPr>
        <w:t>A</w:t>
      </w:r>
      <w:r>
        <w:rPr>
          <w:rFonts w:ascii="黑体" w:hAnsi="黑体" w:eastAsia="黑体"/>
          <w:color w:val="000000" w:themeColor="text1"/>
          <w:szCs w:val="21"/>
          <w14:textFill>
            <w14:solidFill>
              <w14:schemeClr w14:val="tx1"/>
            </w14:solidFill>
          </w14:textFill>
        </w:rPr>
        <w:t xml:space="preserve">.9 </w:t>
      </w:r>
      <w:r>
        <w:rPr>
          <w:rFonts w:hint="eastAsia" w:ascii="黑体" w:hAnsi="黑体" w:eastAsia="黑体"/>
          <w:color w:val="000000" w:themeColor="text1"/>
          <w:szCs w:val="21"/>
          <w14:textFill>
            <w14:solidFill>
              <w14:schemeClr w14:val="tx1"/>
            </w14:solidFill>
          </w14:textFill>
        </w:rPr>
        <w:t>表务管理</w:t>
      </w:r>
      <w:r>
        <w:rPr>
          <w:rFonts w:ascii="黑体" w:hAnsi="黑体" w:eastAsia="黑体"/>
          <w:color w:val="000000" w:themeColor="text1"/>
          <w:szCs w:val="21"/>
          <w14:textFill>
            <w14:solidFill>
              <w14:schemeClr w14:val="tx1"/>
            </w14:solidFill>
          </w14:textFill>
        </w:rPr>
        <w:t>系统</w:t>
      </w:r>
      <w:bookmarkEnd w:id="257"/>
      <w:bookmarkEnd w:id="258"/>
    </w:p>
    <w:p w14:paraId="22277E8E">
      <w:pPr>
        <w:pStyle w:val="26"/>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主要包括设采购管理、库存管理、拆表管理、换表管理、表具检测、统计分析等功能。风险等级一般</w:t>
      </w:r>
      <w:r>
        <w:rPr>
          <w:rFonts w:hAnsi="宋体"/>
          <w:color w:val="000000" w:themeColor="text1"/>
          <w:szCs w:val="21"/>
          <w14:textFill>
            <w14:solidFill>
              <w14:schemeClr w14:val="tx1"/>
            </w14:solidFill>
          </w14:textFill>
        </w:rPr>
        <w:t>定为第</w:t>
      </w:r>
      <w:r>
        <w:rPr>
          <w:rFonts w:hint="eastAsia" w:hAnsi="宋体"/>
          <w:color w:val="000000" w:themeColor="text1"/>
          <w:szCs w:val="21"/>
          <w14:textFill>
            <w14:solidFill>
              <w14:schemeClr w14:val="tx1"/>
            </w14:solidFill>
          </w14:textFill>
        </w:rPr>
        <w:t>二</w:t>
      </w:r>
      <w:r>
        <w:rPr>
          <w:rFonts w:hAnsi="宋体"/>
          <w:color w:val="000000" w:themeColor="text1"/>
          <w:szCs w:val="21"/>
          <w14:textFill>
            <w14:solidFill>
              <w14:schemeClr w14:val="tx1"/>
            </w14:solidFill>
          </w14:textFill>
        </w:rPr>
        <w:t>级</w:t>
      </w:r>
      <w:r>
        <w:rPr>
          <w:rFonts w:hint="eastAsia" w:hAnsi="宋体"/>
          <w:color w:val="000000" w:themeColor="text1"/>
          <w:szCs w:val="21"/>
          <w14:textFill>
            <w14:solidFill>
              <w14:schemeClr w14:val="tx1"/>
            </w14:solidFill>
          </w14:textFill>
        </w:rPr>
        <w:t>。</w:t>
      </w:r>
    </w:p>
    <w:p w14:paraId="602EE314">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259" w:name="_Toc207032577"/>
      <w:bookmarkStart w:id="260" w:name="_Toc2011394856"/>
      <w:r>
        <w:rPr>
          <w:rFonts w:hint="eastAsia" w:ascii="黑体" w:hAnsi="黑体" w:eastAsia="黑体"/>
          <w:color w:val="000000" w:themeColor="text1"/>
          <w:szCs w:val="21"/>
          <w14:textFill>
            <w14:solidFill>
              <w14:schemeClr w14:val="tx1"/>
            </w14:solidFill>
          </w14:textFill>
        </w:rPr>
        <w:t>A</w:t>
      </w:r>
      <w:r>
        <w:rPr>
          <w:rFonts w:ascii="黑体" w:hAnsi="黑体" w:eastAsia="黑体"/>
          <w:color w:val="000000" w:themeColor="text1"/>
          <w:szCs w:val="21"/>
          <w14:textFill>
            <w14:solidFill>
              <w14:schemeClr w14:val="tx1"/>
            </w14:solidFill>
          </w14:textFill>
        </w:rPr>
        <w:t xml:space="preserve">.10 </w:t>
      </w:r>
      <w:r>
        <w:rPr>
          <w:rFonts w:hint="eastAsia" w:ascii="黑体" w:hAnsi="黑体" w:eastAsia="黑体"/>
          <w:color w:val="000000" w:themeColor="text1"/>
          <w:szCs w:val="21"/>
          <w14:textFill>
            <w14:solidFill>
              <w14:schemeClr w14:val="tx1"/>
            </w14:solidFill>
          </w14:textFill>
        </w:rPr>
        <w:t>客服热线管理</w:t>
      </w:r>
      <w:r>
        <w:rPr>
          <w:rFonts w:ascii="黑体" w:hAnsi="黑体" w:eastAsia="黑体"/>
          <w:color w:val="000000" w:themeColor="text1"/>
          <w:szCs w:val="21"/>
          <w14:textFill>
            <w14:solidFill>
              <w14:schemeClr w14:val="tx1"/>
            </w14:solidFill>
          </w14:textFill>
        </w:rPr>
        <w:t>系统</w:t>
      </w:r>
      <w:bookmarkEnd w:id="259"/>
      <w:bookmarkEnd w:id="260"/>
    </w:p>
    <w:p w14:paraId="01CA59C6">
      <w:pPr>
        <w:pStyle w:val="26"/>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系统</w:t>
      </w:r>
      <w:r>
        <w:rPr>
          <w:rFonts w:hAnsi="宋体"/>
          <w:color w:val="000000" w:themeColor="text1"/>
          <w:szCs w:val="21"/>
          <w14:textFill>
            <w14:solidFill>
              <w14:schemeClr w14:val="tx1"/>
            </w14:solidFill>
          </w14:textFill>
        </w:rPr>
        <w:t>涉</w:t>
      </w:r>
      <w:r>
        <w:rPr>
          <w:rFonts w:hint="eastAsia" w:hAnsi="宋体"/>
          <w:color w:val="000000" w:themeColor="text1"/>
          <w:szCs w:val="21"/>
          <w14:textFill>
            <w14:solidFill>
              <w14:schemeClr w14:val="tx1"/>
            </w14:solidFill>
          </w14:textFill>
        </w:rPr>
        <w:t>及用户个人信息（如：身份证号、地址、电话、照片等），一般按照用水户数量划分风险等级，见表A.7。</w:t>
      </w:r>
    </w:p>
    <w:p w14:paraId="4AE2BCCC">
      <w:pPr>
        <w:pStyle w:val="3"/>
        <w:spacing w:line="240" w:lineRule="auto"/>
        <w:jc w:val="center"/>
        <w:rPr>
          <w:rFonts w:ascii="黑体" w:hAnsi="黑体"/>
          <w:color w:val="000000" w:themeColor="text1"/>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表 A.7 客服热线管理系统风险等级表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693"/>
      </w:tblGrid>
      <w:tr w14:paraId="7019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14:paraId="7771BCF8">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xml:space="preserve">户数量 </w:t>
            </w:r>
            <w:r>
              <w:rPr>
                <w:rFonts w:ascii="宋体" w:hAnsi="宋体"/>
                <w:color w:val="000000" w:themeColor="text1"/>
                <w:kern w:val="0"/>
                <w:sz w:val="18"/>
                <w:szCs w:val="18"/>
                <w14:textFill>
                  <w14:solidFill>
                    <w14:schemeClr w14:val="tx1"/>
                  </w14:solidFill>
                </w14:textFill>
              </w:rPr>
              <w:t>X</w:t>
            </w:r>
          </w:p>
        </w:tc>
        <w:tc>
          <w:tcPr>
            <w:tcW w:w="2693" w:type="dxa"/>
          </w:tcPr>
          <w:p w14:paraId="616B6549">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风险等级</w:t>
            </w:r>
          </w:p>
        </w:tc>
      </w:tr>
      <w:tr w14:paraId="148F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14:paraId="1FCEA55E">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X＜5000</w:t>
            </w:r>
          </w:p>
        </w:tc>
        <w:tc>
          <w:tcPr>
            <w:tcW w:w="2693" w:type="dxa"/>
          </w:tcPr>
          <w:p w14:paraId="55AACD35">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第</w:t>
            </w:r>
            <w:r>
              <w:rPr>
                <w:rFonts w:hint="eastAsia" w:ascii="宋体" w:hAnsi="宋体"/>
                <w:color w:val="000000" w:themeColor="text1"/>
                <w:kern w:val="0"/>
                <w:sz w:val="18"/>
                <w:szCs w:val="18"/>
                <w14:textFill>
                  <w14:solidFill>
                    <w14:schemeClr w14:val="tx1"/>
                  </w14:solidFill>
                </w14:textFill>
              </w:rPr>
              <w:t>二</w:t>
            </w:r>
            <w:r>
              <w:rPr>
                <w:rFonts w:ascii="宋体" w:hAnsi="宋体"/>
                <w:color w:val="000000" w:themeColor="text1"/>
                <w:kern w:val="0"/>
                <w:sz w:val="18"/>
                <w:szCs w:val="18"/>
                <w14:textFill>
                  <w14:solidFill>
                    <w14:schemeClr w14:val="tx1"/>
                  </w14:solidFill>
                </w14:textFill>
              </w:rPr>
              <w:t>级</w:t>
            </w:r>
          </w:p>
        </w:tc>
      </w:tr>
      <w:tr w14:paraId="519D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14:paraId="563FC962">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X≥5000</w:t>
            </w:r>
          </w:p>
        </w:tc>
        <w:tc>
          <w:tcPr>
            <w:tcW w:w="2693" w:type="dxa"/>
          </w:tcPr>
          <w:p w14:paraId="681D9302">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第</w:t>
            </w:r>
            <w:r>
              <w:rPr>
                <w:rFonts w:hint="eastAsia" w:ascii="宋体" w:hAnsi="宋体"/>
                <w:color w:val="000000" w:themeColor="text1"/>
                <w:kern w:val="0"/>
                <w:sz w:val="18"/>
                <w:szCs w:val="18"/>
                <w14:textFill>
                  <w14:solidFill>
                    <w14:schemeClr w14:val="tx1"/>
                  </w14:solidFill>
                </w14:textFill>
              </w:rPr>
              <w:t>三</w:t>
            </w:r>
            <w:r>
              <w:rPr>
                <w:rFonts w:ascii="宋体" w:hAnsi="宋体"/>
                <w:color w:val="000000" w:themeColor="text1"/>
                <w:kern w:val="0"/>
                <w:sz w:val="18"/>
                <w:szCs w:val="18"/>
                <w14:textFill>
                  <w14:solidFill>
                    <w14:schemeClr w14:val="tx1"/>
                  </w14:solidFill>
                </w14:textFill>
              </w:rPr>
              <w:t>级</w:t>
            </w:r>
          </w:p>
        </w:tc>
      </w:tr>
    </w:tbl>
    <w:p w14:paraId="29490BEE">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261" w:name="_Toc207032578"/>
      <w:bookmarkStart w:id="262" w:name="_Toc1973257365"/>
      <w:r>
        <w:rPr>
          <w:rFonts w:hint="eastAsia" w:ascii="黑体" w:hAnsi="黑体" w:eastAsia="黑体"/>
          <w:color w:val="000000" w:themeColor="text1"/>
          <w:szCs w:val="21"/>
          <w14:textFill>
            <w14:solidFill>
              <w14:schemeClr w14:val="tx1"/>
            </w14:solidFill>
          </w14:textFill>
        </w:rPr>
        <w:t>A</w:t>
      </w:r>
      <w:r>
        <w:rPr>
          <w:rFonts w:ascii="黑体" w:hAnsi="黑体" w:eastAsia="黑体"/>
          <w:color w:val="000000" w:themeColor="text1"/>
          <w:szCs w:val="21"/>
          <w14:textFill>
            <w14:solidFill>
              <w14:schemeClr w14:val="tx1"/>
            </w14:solidFill>
          </w14:textFill>
        </w:rPr>
        <w:t xml:space="preserve">.11 </w:t>
      </w:r>
      <w:r>
        <w:rPr>
          <w:rFonts w:hint="eastAsia" w:ascii="黑体" w:hAnsi="黑体" w:eastAsia="黑体"/>
          <w:color w:val="000000" w:themeColor="text1"/>
          <w:szCs w:val="21"/>
          <w14:textFill>
            <w14:solidFill>
              <w14:schemeClr w14:val="tx1"/>
            </w14:solidFill>
          </w14:textFill>
        </w:rPr>
        <w:t>工单管理系统</w:t>
      </w:r>
      <w:bookmarkEnd w:id="261"/>
      <w:bookmarkEnd w:id="262"/>
    </w:p>
    <w:p w14:paraId="725B682C">
      <w:pPr>
        <w:pStyle w:val="26"/>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系统</w:t>
      </w:r>
      <w:r>
        <w:rPr>
          <w:rFonts w:hAnsi="宋体"/>
          <w:color w:val="000000" w:themeColor="text1"/>
          <w:szCs w:val="21"/>
          <w14:textFill>
            <w14:solidFill>
              <w14:schemeClr w14:val="tx1"/>
            </w14:solidFill>
          </w14:textFill>
        </w:rPr>
        <w:t>涉</w:t>
      </w:r>
      <w:r>
        <w:rPr>
          <w:rFonts w:hint="eastAsia" w:hAnsi="宋体"/>
          <w:color w:val="000000" w:themeColor="text1"/>
          <w:szCs w:val="21"/>
          <w14:textFill>
            <w14:solidFill>
              <w14:schemeClr w14:val="tx1"/>
            </w14:solidFill>
          </w14:textFill>
        </w:rPr>
        <w:t>及管网坐标等</w:t>
      </w:r>
      <w:r>
        <w:rPr>
          <w:rFonts w:hAnsi="宋体"/>
          <w:color w:val="000000" w:themeColor="text1"/>
          <w:szCs w:val="21"/>
          <w14:textFill>
            <w14:solidFill>
              <w14:schemeClr w14:val="tx1"/>
            </w14:solidFill>
          </w14:textFill>
        </w:rPr>
        <w:t>敏感信息</w:t>
      </w:r>
      <w:r>
        <w:rPr>
          <w:rFonts w:hint="eastAsia" w:hAnsi="宋体"/>
          <w:color w:val="000000" w:themeColor="text1"/>
          <w:szCs w:val="21"/>
          <w14:textFill>
            <w14:solidFill>
              <w14:schemeClr w14:val="tx1"/>
            </w14:solidFill>
          </w14:textFill>
        </w:rPr>
        <w:t>和用户个人信息（如：身份证号、地址、电话、照片等），一般按照用水户/坐标数量划分风险等级见表A.8</w:t>
      </w:r>
    </w:p>
    <w:p w14:paraId="37B86176">
      <w:pPr>
        <w:pStyle w:val="3"/>
        <w:spacing w:line="240" w:lineRule="auto"/>
        <w:jc w:val="center"/>
        <w:rPr>
          <w:rFonts w:ascii="黑体" w:hAnsi="黑体"/>
          <w:color w:val="000000" w:themeColor="text1"/>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表 A.8 工单管理系统风险等级表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693"/>
      </w:tblGrid>
      <w:tr w14:paraId="378D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72" w:type="dxa"/>
          </w:tcPr>
          <w:p w14:paraId="377FC0E9">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xml:space="preserve">用水户/坐标数量 </w:t>
            </w:r>
            <w:r>
              <w:rPr>
                <w:rFonts w:ascii="宋体" w:hAnsi="宋体"/>
                <w:color w:val="000000" w:themeColor="text1"/>
                <w:kern w:val="0"/>
                <w:sz w:val="18"/>
                <w:szCs w:val="18"/>
                <w14:textFill>
                  <w14:solidFill>
                    <w14:schemeClr w14:val="tx1"/>
                  </w14:solidFill>
                </w14:textFill>
              </w:rPr>
              <w:t>X</w:t>
            </w:r>
          </w:p>
        </w:tc>
        <w:tc>
          <w:tcPr>
            <w:tcW w:w="2693" w:type="dxa"/>
          </w:tcPr>
          <w:p w14:paraId="3B188AB4">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风险等级</w:t>
            </w:r>
          </w:p>
        </w:tc>
      </w:tr>
      <w:tr w14:paraId="504C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14:paraId="5B3C7328">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X＜5000</w:t>
            </w:r>
          </w:p>
        </w:tc>
        <w:tc>
          <w:tcPr>
            <w:tcW w:w="2693" w:type="dxa"/>
          </w:tcPr>
          <w:p w14:paraId="391AB2DA">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第</w:t>
            </w:r>
            <w:r>
              <w:rPr>
                <w:rFonts w:hint="eastAsia" w:ascii="宋体" w:hAnsi="宋体"/>
                <w:color w:val="000000" w:themeColor="text1"/>
                <w:kern w:val="0"/>
                <w:sz w:val="18"/>
                <w:szCs w:val="18"/>
                <w14:textFill>
                  <w14:solidFill>
                    <w14:schemeClr w14:val="tx1"/>
                  </w14:solidFill>
                </w14:textFill>
              </w:rPr>
              <w:t>二</w:t>
            </w:r>
            <w:r>
              <w:rPr>
                <w:rFonts w:ascii="宋体" w:hAnsi="宋体"/>
                <w:color w:val="000000" w:themeColor="text1"/>
                <w:kern w:val="0"/>
                <w:sz w:val="18"/>
                <w:szCs w:val="18"/>
                <w14:textFill>
                  <w14:solidFill>
                    <w14:schemeClr w14:val="tx1"/>
                  </w14:solidFill>
                </w14:textFill>
              </w:rPr>
              <w:t>级</w:t>
            </w:r>
          </w:p>
        </w:tc>
      </w:tr>
      <w:tr w14:paraId="33EA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14:paraId="15C95D0A">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X≥5000</w:t>
            </w:r>
          </w:p>
        </w:tc>
        <w:tc>
          <w:tcPr>
            <w:tcW w:w="2693" w:type="dxa"/>
          </w:tcPr>
          <w:p w14:paraId="6903052C">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第</w:t>
            </w:r>
            <w:r>
              <w:rPr>
                <w:rFonts w:hint="eastAsia" w:ascii="宋体" w:hAnsi="宋体"/>
                <w:color w:val="000000" w:themeColor="text1"/>
                <w:kern w:val="0"/>
                <w:sz w:val="18"/>
                <w:szCs w:val="18"/>
                <w14:textFill>
                  <w14:solidFill>
                    <w14:schemeClr w14:val="tx1"/>
                  </w14:solidFill>
                </w14:textFill>
              </w:rPr>
              <w:t>三</w:t>
            </w:r>
            <w:r>
              <w:rPr>
                <w:rFonts w:ascii="宋体" w:hAnsi="宋体"/>
                <w:color w:val="000000" w:themeColor="text1"/>
                <w:kern w:val="0"/>
                <w:sz w:val="18"/>
                <w:szCs w:val="18"/>
                <w14:textFill>
                  <w14:solidFill>
                    <w14:schemeClr w14:val="tx1"/>
                  </w14:solidFill>
                </w14:textFill>
              </w:rPr>
              <w:t>级</w:t>
            </w:r>
          </w:p>
        </w:tc>
      </w:tr>
    </w:tbl>
    <w:p w14:paraId="417937A1">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263" w:name="_Toc946572934"/>
      <w:bookmarkStart w:id="264" w:name="_Toc207032579"/>
      <w:r>
        <w:rPr>
          <w:rFonts w:hint="eastAsia" w:ascii="黑体" w:hAnsi="黑体" w:eastAsia="黑体"/>
          <w:color w:val="000000" w:themeColor="text1"/>
          <w:szCs w:val="21"/>
          <w14:textFill>
            <w14:solidFill>
              <w14:schemeClr w14:val="tx1"/>
            </w14:solidFill>
          </w14:textFill>
        </w:rPr>
        <w:t>A</w:t>
      </w:r>
      <w:r>
        <w:rPr>
          <w:rFonts w:ascii="黑体" w:hAnsi="黑体" w:eastAsia="黑体"/>
          <w:color w:val="000000" w:themeColor="text1"/>
          <w:szCs w:val="21"/>
          <w14:textFill>
            <w14:solidFill>
              <w14:schemeClr w14:val="tx1"/>
            </w14:solidFill>
          </w14:textFill>
        </w:rPr>
        <w:t>.12 安防系统</w:t>
      </w:r>
      <w:bookmarkEnd w:id="263"/>
      <w:bookmarkEnd w:id="264"/>
    </w:p>
    <w:p w14:paraId="6257F0AE">
      <w:pPr>
        <w:pStyle w:val="3"/>
        <w:spacing w:line="240" w:lineRule="auto"/>
        <w:jc w:val="center"/>
        <w:rPr>
          <w:rFonts w:ascii="黑体" w:hAnsi="黑体"/>
          <w:color w:val="000000" w:themeColor="text1"/>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表 A.9 安防系统风险等级表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693"/>
      </w:tblGrid>
      <w:tr w14:paraId="514F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14:paraId="62B93134">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xml:space="preserve">摄像头数量 </w:t>
            </w:r>
            <w:r>
              <w:rPr>
                <w:rFonts w:ascii="宋体" w:hAnsi="宋体"/>
                <w:color w:val="000000" w:themeColor="text1"/>
                <w:kern w:val="0"/>
                <w:sz w:val="18"/>
                <w:szCs w:val="18"/>
                <w14:textFill>
                  <w14:solidFill>
                    <w14:schemeClr w14:val="tx1"/>
                  </w14:solidFill>
                </w14:textFill>
              </w:rPr>
              <w:t>X</w:t>
            </w:r>
          </w:p>
        </w:tc>
        <w:tc>
          <w:tcPr>
            <w:tcW w:w="2693" w:type="dxa"/>
          </w:tcPr>
          <w:p w14:paraId="75A18A9A">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风险等级</w:t>
            </w:r>
          </w:p>
        </w:tc>
      </w:tr>
      <w:tr w14:paraId="2FE8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14:paraId="67643B8C">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X＜100</w:t>
            </w:r>
          </w:p>
        </w:tc>
        <w:tc>
          <w:tcPr>
            <w:tcW w:w="2693" w:type="dxa"/>
          </w:tcPr>
          <w:p w14:paraId="0B4D4F51">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第</w:t>
            </w:r>
            <w:r>
              <w:rPr>
                <w:rFonts w:hint="eastAsia" w:ascii="宋体" w:hAnsi="宋体"/>
                <w:color w:val="000000" w:themeColor="text1"/>
                <w:kern w:val="0"/>
                <w:sz w:val="18"/>
                <w:szCs w:val="18"/>
                <w14:textFill>
                  <w14:solidFill>
                    <w14:schemeClr w14:val="tx1"/>
                  </w14:solidFill>
                </w14:textFill>
              </w:rPr>
              <w:t>一</w:t>
            </w:r>
            <w:r>
              <w:rPr>
                <w:rFonts w:ascii="宋体" w:hAnsi="宋体"/>
                <w:color w:val="000000" w:themeColor="text1"/>
                <w:kern w:val="0"/>
                <w:sz w:val="18"/>
                <w:szCs w:val="18"/>
                <w14:textFill>
                  <w14:solidFill>
                    <w14:schemeClr w14:val="tx1"/>
                  </w14:solidFill>
                </w14:textFill>
              </w:rPr>
              <w:t>级</w:t>
            </w:r>
          </w:p>
        </w:tc>
      </w:tr>
      <w:tr w14:paraId="0BE7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14:paraId="06A8F879">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X≥100</w:t>
            </w:r>
          </w:p>
        </w:tc>
        <w:tc>
          <w:tcPr>
            <w:tcW w:w="2693" w:type="dxa"/>
          </w:tcPr>
          <w:p w14:paraId="1B50F587">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第</w:t>
            </w:r>
            <w:r>
              <w:rPr>
                <w:rFonts w:hint="eastAsia" w:ascii="宋体" w:hAnsi="宋体"/>
                <w:color w:val="000000" w:themeColor="text1"/>
                <w:kern w:val="0"/>
                <w:sz w:val="18"/>
                <w:szCs w:val="18"/>
                <w14:textFill>
                  <w14:solidFill>
                    <w14:schemeClr w14:val="tx1"/>
                  </w14:solidFill>
                </w14:textFill>
              </w:rPr>
              <w:t>二</w:t>
            </w:r>
            <w:r>
              <w:rPr>
                <w:rFonts w:ascii="宋体" w:hAnsi="宋体"/>
                <w:color w:val="000000" w:themeColor="text1"/>
                <w:kern w:val="0"/>
                <w:sz w:val="18"/>
                <w:szCs w:val="18"/>
                <w14:textFill>
                  <w14:solidFill>
                    <w14:schemeClr w14:val="tx1"/>
                  </w14:solidFill>
                </w14:textFill>
              </w:rPr>
              <w:t>级</w:t>
            </w:r>
          </w:p>
        </w:tc>
      </w:tr>
    </w:tbl>
    <w:p w14:paraId="62EF6CAA">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265" w:name="_Toc207032580"/>
      <w:bookmarkStart w:id="266" w:name="_Toc492444762"/>
      <w:r>
        <w:rPr>
          <w:rFonts w:hint="eastAsia" w:ascii="黑体" w:hAnsi="黑体" w:eastAsia="黑体"/>
          <w:color w:val="000000" w:themeColor="text1"/>
          <w:szCs w:val="21"/>
          <w14:textFill>
            <w14:solidFill>
              <w14:schemeClr w14:val="tx1"/>
            </w14:solidFill>
          </w14:textFill>
        </w:rPr>
        <w:t>A</w:t>
      </w:r>
      <w:r>
        <w:rPr>
          <w:rFonts w:ascii="黑体" w:hAnsi="黑体" w:eastAsia="黑体"/>
          <w:color w:val="000000" w:themeColor="text1"/>
          <w:szCs w:val="21"/>
          <w14:textFill>
            <w14:solidFill>
              <w14:schemeClr w14:val="tx1"/>
            </w14:solidFill>
          </w14:textFill>
        </w:rPr>
        <w:t>.13 门户网站</w:t>
      </w:r>
      <w:bookmarkEnd w:id="265"/>
      <w:bookmarkEnd w:id="266"/>
    </w:p>
    <w:p w14:paraId="1628AB2C">
      <w:pPr>
        <w:pStyle w:val="3"/>
        <w:spacing w:line="240" w:lineRule="auto"/>
        <w:jc w:val="center"/>
        <w:rPr>
          <w:rFonts w:ascii="黑体" w:hAnsi="黑体"/>
          <w:color w:val="000000" w:themeColor="text1"/>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表 A.10 门户网站风险等级表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693"/>
      </w:tblGrid>
      <w:tr w14:paraId="39F5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14:paraId="313B82AA">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网站功能</w:t>
            </w:r>
          </w:p>
        </w:tc>
        <w:tc>
          <w:tcPr>
            <w:tcW w:w="2693" w:type="dxa"/>
          </w:tcPr>
          <w:p w14:paraId="531078C4">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风险等级</w:t>
            </w:r>
          </w:p>
        </w:tc>
      </w:tr>
      <w:tr w14:paraId="3EC6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14:paraId="280DB166">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只能浏览</w:t>
            </w:r>
          </w:p>
        </w:tc>
        <w:tc>
          <w:tcPr>
            <w:tcW w:w="2693" w:type="dxa"/>
          </w:tcPr>
          <w:p w14:paraId="305B6F38">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第</w:t>
            </w:r>
            <w:r>
              <w:rPr>
                <w:rFonts w:hint="eastAsia" w:ascii="宋体" w:hAnsi="宋体"/>
                <w:color w:val="000000" w:themeColor="text1"/>
                <w:kern w:val="0"/>
                <w:sz w:val="18"/>
                <w:szCs w:val="18"/>
                <w14:textFill>
                  <w14:solidFill>
                    <w14:schemeClr w14:val="tx1"/>
                  </w14:solidFill>
                </w14:textFill>
              </w:rPr>
              <w:t>一</w:t>
            </w:r>
            <w:r>
              <w:rPr>
                <w:rFonts w:ascii="宋体" w:hAnsi="宋体"/>
                <w:color w:val="000000" w:themeColor="text1"/>
                <w:kern w:val="0"/>
                <w:sz w:val="18"/>
                <w:szCs w:val="18"/>
                <w14:textFill>
                  <w14:solidFill>
                    <w14:schemeClr w14:val="tx1"/>
                  </w14:solidFill>
                </w14:textFill>
              </w:rPr>
              <w:t>级</w:t>
            </w:r>
          </w:p>
        </w:tc>
      </w:tr>
      <w:tr w14:paraId="1078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14:paraId="639CBFA8">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可以信息交互</w:t>
            </w:r>
          </w:p>
        </w:tc>
        <w:tc>
          <w:tcPr>
            <w:tcW w:w="2693" w:type="dxa"/>
          </w:tcPr>
          <w:p w14:paraId="0F718140">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第</w:t>
            </w:r>
            <w:r>
              <w:rPr>
                <w:rFonts w:hint="eastAsia" w:ascii="宋体" w:hAnsi="宋体"/>
                <w:color w:val="000000" w:themeColor="text1"/>
                <w:kern w:val="0"/>
                <w:sz w:val="18"/>
                <w:szCs w:val="18"/>
                <w14:textFill>
                  <w14:solidFill>
                    <w14:schemeClr w14:val="tx1"/>
                  </w14:solidFill>
                </w14:textFill>
              </w:rPr>
              <w:t>二</w:t>
            </w:r>
            <w:r>
              <w:rPr>
                <w:rFonts w:ascii="宋体" w:hAnsi="宋体"/>
                <w:color w:val="000000" w:themeColor="text1"/>
                <w:kern w:val="0"/>
                <w:sz w:val="18"/>
                <w:szCs w:val="18"/>
                <w14:textFill>
                  <w14:solidFill>
                    <w14:schemeClr w14:val="tx1"/>
                  </w14:solidFill>
                </w14:textFill>
              </w:rPr>
              <w:t>级</w:t>
            </w:r>
          </w:p>
        </w:tc>
      </w:tr>
    </w:tbl>
    <w:p w14:paraId="6F3C5DD9">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267" w:name="_Toc117139396"/>
      <w:bookmarkStart w:id="268" w:name="_Toc207032581"/>
      <w:r>
        <w:rPr>
          <w:rFonts w:hint="eastAsia" w:ascii="黑体" w:hAnsi="黑体" w:eastAsia="黑体"/>
          <w:color w:val="000000" w:themeColor="text1"/>
          <w:szCs w:val="21"/>
          <w14:textFill>
            <w14:solidFill>
              <w14:schemeClr w14:val="tx1"/>
            </w14:solidFill>
          </w14:textFill>
        </w:rPr>
        <w:t>A</w:t>
      </w:r>
      <w:r>
        <w:rPr>
          <w:rFonts w:ascii="黑体" w:hAnsi="黑体" w:eastAsia="黑体"/>
          <w:color w:val="000000" w:themeColor="text1"/>
          <w:szCs w:val="21"/>
          <w14:textFill>
            <w14:solidFill>
              <w14:schemeClr w14:val="tx1"/>
            </w14:solidFill>
          </w14:textFill>
        </w:rPr>
        <w:t>.14 办公自动化系统</w:t>
      </w:r>
      <w:bookmarkEnd w:id="267"/>
      <w:bookmarkEnd w:id="268"/>
    </w:p>
    <w:p w14:paraId="79E94437">
      <w:pPr>
        <w:pStyle w:val="3"/>
        <w:spacing w:line="240" w:lineRule="auto"/>
        <w:jc w:val="center"/>
        <w:rPr>
          <w:rFonts w:ascii="黑体" w:hAnsi="黑体"/>
          <w:color w:val="000000" w:themeColor="text1"/>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表 A.11 办公自动化系统风险等级表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693"/>
      </w:tblGrid>
      <w:tr w14:paraId="0A13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14:paraId="04EAF1E3">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应用范围</w:t>
            </w:r>
          </w:p>
        </w:tc>
        <w:tc>
          <w:tcPr>
            <w:tcW w:w="2693" w:type="dxa"/>
          </w:tcPr>
          <w:p w14:paraId="444E4757">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风险等级</w:t>
            </w:r>
          </w:p>
        </w:tc>
      </w:tr>
      <w:tr w14:paraId="64B2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Borders>
              <w:bottom w:val="single" w:color="auto" w:sz="4" w:space="0"/>
            </w:tcBorders>
          </w:tcPr>
          <w:p w14:paraId="2DCAD799">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企业内网访问</w:t>
            </w:r>
          </w:p>
        </w:tc>
        <w:tc>
          <w:tcPr>
            <w:tcW w:w="2693" w:type="dxa"/>
            <w:tcBorders>
              <w:bottom w:val="single" w:color="auto" w:sz="4" w:space="0"/>
            </w:tcBorders>
          </w:tcPr>
          <w:p w14:paraId="59BDE2CB">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第</w:t>
            </w:r>
            <w:r>
              <w:rPr>
                <w:rFonts w:hint="eastAsia" w:ascii="宋体" w:hAnsi="宋体"/>
                <w:color w:val="000000" w:themeColor="text1"/>
                <w:kern w:val="0"/>
                <w:sz w:val="18"/>
                <w:szCs w:val="18"/>
                <w14:textFill>
                  <w14:solidFill>
                    <w14:schemeClr w14:val="tx1"/>
                  </w14:solidFill>
                </w14:textFill>
              </w:rPr>
              <w:t>一</w:t>
            </w:r>
            <w:r>
              <w:rPr>
                <w:rFonts w:ascii="宋体" w:hAnsi="宋体"/>
                <w:color w:val="000000" w:themeColor="text1"/>
                <w:kern w:val="0"/>
                <w:sz w:val="18"/>
                <w:szCs w:val="18"/>
                <w14:textFill>
                  <w14:solidFill>
                    <w14:schemeClr w14:val="tx1"/>
                  </w14:solidFill>
                </w14:textFill>
              </w:rPr>
              <w:t>级</w:t>
            </w:r>
          </w:p>
        </w:tc>
      </w:tr>
      <w:tr w14:paraId="0F17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Borders>
              <w:bottom w:val="single" w:color="auto" w:sz="4" w:space="0"/>
            </w:tcBorders>
          </w:tcPr>
          <w:p w14:paraId="2E092120">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公网访问</w:t>
            </w:r>
          </w:p>
        </w:tc>
        <w:tc>
          <w:tcPr>
            <w:tcW w:w="2693" w:type="dxa"/>
            <w:tcBorders>
              <w:bottom w:val="single" w:color="auto" w:sz="4" w:space="0"/>
            </w:tcBorders>
          </w:tcPr>
          <w:p w14:paraId="2F4898BA">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第</w:t>
            </w:r>
            <w:r>
              <w:rPr>
                <w:rFonts w:hint="eastAsia" w:ascii="宋体" w:hAnsi="宋体"/>
                <w:color w:val="000000" w:themeColor="text1"/>
                <w:kern w:val="0"/>
                <w:sz w:val="18"/>
                <w:szCs w:val="18"/>
                <w14:textFill>
                  <w14:solidFill>
                    <w14:schemeClr w14:val="tx1"/>
                  </w14:solidFill>
                </w14:textFill>
              </w:rPr>
              <w:t>二</w:t>
            </w:r>
            <w:r>
              <w:rPr>
                <w:rFonts w:ascii="宋体" w:hAnsi="宋体"/>
                <w:color w:val="000000" w:themeColor="text1"/>
                <w:kern w:val="0"/>
                <w:sz w:val="18"/>
                <w:szCs w:val="18"/>
                <w14:textFill>
                  <w14:solidFill>
                    <w14:schemeClr w14:val="tx1"/>
                  </w14:solidFill>
                </w14:textFill>
              </w:rPr>
              <w:t>级</w:t>
            </w:r>
          </w:p>
        </w:tc>
      </w:tr>
    </w:tbl>
    <w:p w14:paraId="1FD53186">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269" w:name="_Toc207032582"/>
      <w:bookmarkStart w:id="270" w:name="_Toc1666807920"/>
      <w:r>
        <w:rPr>
          <w:rFonts w:hint="eastAsia" w:ascii="黑体" w:hAnsi="黑体" w:eastAsia="黑体"/>
          <w:color w:val="000000" w:themeColor="text1"/>
          <w:szCs w:val="21"/>
          <w14:textFill>
            <w14:solidFill>
              <w14:schemeClr w14:val="tx1"/>
            </w14:solidFill>
          </w14:textFill>
        </w:rPr>
        <w:t>A</w:t>
      </w:r>
      <w:r>
        <w:rPr>
          <w:rFonts w:ascii="黑体" w:hAnsi="黑体" w:eastAsia="黑体"/>
          <w:color w:val="000000" w:themeColor="text1"/>
          <w:szCs w:val="21"/>
          <w14:textFill>
            <w14:solidFill>
              <w14:schemeClr w14:val="tx1"/>
            </w14:solidFill>
          </w14:textFill>
        </w:rPr>
        <w:t xml:space="preserve">.15 </w:t>
      </w:r>
      <w:r>
        <w:rPr>
          <w:rFonts w:hint="eastAsia" w:ascii="黑体" w:hAnsi="黑体" w:eastAsia="黑体"/>
          <w:color w:val="000000" w:themeColor="text1"/>
          <w:szCs w:val="21"/>
          <w14:textFill>
            <w14:solidFill>
              <w14:schemeClr w14:val="tx1"/>
            </w14:solidFill>
          </w14:textFill>
        </w:rPr>
        <w:t>二次供水监控系统</w:t>
      </w:r>
      <w:bookmarkEnd w:id="269"/>
      <w:bookmarkEnd w:id="270"/>
    </w:p>
    <w:p w14:paraId="50D9A590">
      <w:pPr>
        <w:pStyle w:val="3"/>
        <w:spacing w:line="240" w:lineRule="auto"/>
        <w:jc w:val="center"/>
        <w:rPr>
          <w:rFonts w:ascii="黑体" w:hAnsi="黑体"/>
          <w:color w:val="000000" w:themeColor="text1"/>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表 A.12 二次供水监控系统等级表</w:t>
      </w:r>
    </w:p>
    <w:tbl>
      <w:tblPr>
        <w:tblStyle w:val="1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693"/>
        <w:gridCol w:w="2835"/>
      </w:tblGrid>
      <w:tr w14:paraId="5192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14:paraId="48B174E1">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泵房数量 X</w:t>
            </w:r>
          </w:p>
        </w:tc>
        <w:tc>
          <w:tcPr>
            <w:tcW w:w="2693" w:type="dxa"/>
          </w:tcPr>
          <w:p w14:paraId="5ADDC756">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只</w:t>
            </w:r>
            <w:r>
              <w:rPr>
                <w:rFonts w:hint="eastAsia" w:ascii="宋体" w:hAnsi="宋体"/>
                <w:color w:val="000000" w:themeColor="text1"/>
                <w:kern w:val="0"/>
                <w:sz w:val="18"/>
                <w:szCs w:val="18"/>
                <w14:textFill>
                  <w14:solidFill>
                    <w14:schemeClr w14:val="tx1"/>
                  </w14:solidFill>
                </w14:textFill>
              </w:rPr>
              <w:t>能</w:t>
            </w:r>
            <w:r>
              <w:rPr>
                <w:rFonts w:ascii="宋体" w:hAnsi="宋体"/>
                <w:color w:val="000000" w:themeColor="text1"/>
                <w:kern w:val="0"/>
                <w:sz w:val="18"/>
                <w:szCs w:val="18"/>
                <w14:textFill>
                  <w14:solidFill>
                    <w14:schemeClr w14:val="tx1"/>
                  </w14:solidFill>
                </w14:textFill>
              </w:rPr>
              <w:t>监测</w:t>
            </w:r>
            <w:r>
              <w:rPr>
                <w:rFonts w:hint="eastAsia" w:ascii="宋体" w:hAnsi="宋体"/>
                <w:color w:val="000000" w:themeColor="text1"/>
                <w:kern w:val="0"/>
                <w:sz w:val="18"/>
                <w:szCs w:val="18"/>
                <w14:textFill>
                  <w14:solidFill>
                    <w14:schemeClr w14:val="tx1"/>
                  </w14:solidFill>
                </w14:textFill>
              </w:rPr>
              <w:t>数据</w:t>
            </w:r>
          </w:p>
        </w:tc>
        <w:tc>
          <w:tcPr>
            <w:tcW w:w="2835" w:type="dxa"/>
          </w:tcPr>
          <w:p w14:paraId="093501CA">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能远程</w:t>
            </w:r>
            <w:r>
              <w:rPr>
                <w:rFonts w:hint="eastAsia" w:ascii="宋体" w:hAnsi="宋体"/>
                <w:color w:val="000000" w:themeColor="text1"/>
                <w:kern w:val="0"/>
                <w:sz w:val="18"/>
                <w:szCs w:val="18"/>
                <w14:textFill>
                  <w14:solidFill>
                    <w14:schemeClr w14:val="tx1"/>
                  </w14:solidFill>
                </w14:textFill>
              </w:rPr>
              <w:t>监控</w:t>
            </w:r>
            <w:r>
              <w:rPr>
                <w:rFonts w:ascii="宋体" w:hAnsi="宋体"/>
                <w:color w:val="000000" w:themeColor="text1"/>
                <w:kern w:val="0"/>
                <w:sz w:val="18"/>
                <w:szCs w:val="18"/>
                <w14:textFill>
                  <w14:solidFill>
                    <w14:schemeClr w14:val="tx1"/>
                  </w14:solidFill>
                </w14:textFill>
              </w:rPr>
              <w:t>或设置运行参数</w:t>
            </w:r>
          </w:p>
        </w:tc>
      </w:tr>
      <w:tr w14:paraId="671B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14:paraId="78FFA78B">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X＜</w:t>
            </w:r>
            <w:r>
              <w:rPr>
                <w:rFonts w:hint="eastAsia" w:ascii="宋体" w:hAnsi="宋体"/>
                <w:color w:val="000000" w:themeColor="text1"/>
                <w:kern w:val="0"/>
                <w:sz w:val="18"/>
                <w:szCs w:val="18"/>
                <w14:textFill>
                  <w14:solidFill>
                    <w14:schemeClr w14:val="tx1"/>
                  </w14:solidFill>
                </w14:textFill>
              </w:rPr>
              <w:t>1</w:t>
            </w:r>
            <w:r>
              <w:rPr>
                <w:rFonts w:ascii="宋体" w:hAnsi="宋体"/>
                <w:color w:val="000000" w:themeColor="text1"/>
                <w:kern w:val="0"/>
                <w:sz w:val="18"/>
                <w:szCs w:val="18"/>
                <w14:textFill>
                  <w14:solidFill>
                    <w14:schemeClr w14:val="tx1"/>
                  </w14:solidFill>
                </w14:textFill>
              </w:rPr>
              <w:t>00</w:t>
            </w:r>
          </w:p>
        </w:tc>
        <w:tc>
          <w:tcPr>
            <w:tcW w:w="2693" w:type="dxa"/>
          </w:tcPr>
          <w:p w14:paraId="02CB7AFB">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第一级</w:t>
            </w:r>
          </w:p>
        </w:tc>
        <w:tc>
          <w:tcPr>
            <w:tcW w:w="2835" w:type="dxa"/>
          </w:tcPr>
          <w:p w14:paraId="5339AFD9">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第</w:t>
            </w:r>
            <w:r>
              <w:rPr>
                <w:rFonts w:hint="eastAsia" w:ascii="宋体" w:hAnsi="宋体"/>
                <w:color w:val="000000" w:themeColor="text1"/>
                <w:kern w:val="0"/>
                <w:sz w:val="18"/>
                <w:szCs w:val="18"/>
                <w14:textFill>
                  <w14:solidFill>
                    <w14:schemeClr w14:val="tx1"/>
                  </w14:solidFill>
                </w14:textFill>
              </w:rPr>
              <w:t>二</w:t>
            </w:r>
            <w:r>
              <w:rPr>
                <w:rFonts w:ascii="宋体" w:hAnsi="宋体"/>
                <w:color w:val="000000" w:themeColor="text1"/>
                <w:kern w:val="0"/>
                <w:sz w:val="18"/>
                <w:szCs w:val="18"/>
                <w14:textFill>
                  <w14:solidFill>
                    <w14:schemeClr w14:val="tx1"/>
                  </w14:solidFill>
                </w14:textFill>
              </w:rPr>
              <w:t>级</w:t>
            </w:r>
          </w:p>
        </w:tc>
      </w:tr>
      <w:tr w14:paraId="6FDB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14:paraId="34ABEC53">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100≤X＜500</w:t>
            </w:r>
          </w:p>
        </w:tc>
        <w:tc>
          <w:tcPr>
            <w:tcW w:w="2693" w:type="dxa"/>
          </w:tcPr>
          <w:p w14:paraId="42960CE3">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第一级</w:t>
            </w:r>
          </w:p>
        </w:tc>
        <w:tc>
          <w:tcPr>
            <w:tcW w:w="2835" w:type="dxa"/>
          </w:tcPr>
          <w:p w14:paraId="1179270D">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第</w:t>
            </w:r>
            <w:r>
              <w:rPr>
                <w:rFonts w:hint="eastAsia" w:ascii="宋体" w:hAnsi="宋体"/>
                <w:color w:val="000000" w:themeColor="text1"/>
                <w:kern w:val="0"/>
                <w:sz w:val="18"/>
                <w:szCs w:val="18"/>
                <w14:textFill>
                  <w14:solidFill>
                    <w14:schemeClr w14:val="tx1"/>
                  </w14:solidFill>
                </w14:textFill>
              </w:rPr>
              <w:t>二</w:t>
            </w:r>
            <w:r>
              <w:rPr>
                <w:rFonts w:ascii="宋体" w:hAnsi="宋体"/>
                <w:color w:val="000000" w:themeColor="text1"/>
                <w:kern w:val="0"/>
                <w:sz w:val="18"/>
                <w:szCs w:val="18"/>
                <w14:textFill>
                  <w14:solidFill>
                    <w14:schemeClr w14:val="tx1"/>
                  </w14:solidFill>
                </w14:textFill>
              </w:rPr>
              <w:t>级</w:t>
            </w:r>
          </w:p>
        </w:tc>
      </w:tr>
      <w:tr w14:paraId="51C3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14:paraId="5F909C37">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X≥500</w:t>
            </w:r>
          </w:p>
        </w:tc>
        <w:tc>
          <w:tcPr>
            <w:tcW w:w="2693" w:type="dxa"/>
          </w:tcPr>
          <w:p w14:paraId="49C5CB03">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第</w:t>
            </w:r>
            <w:r>
              <w:rPr>
                <w:rFonts w:hint="eastAsia" w:ascii="宋体" w:hAnsi="宋体"/>
                <w:color w:val="000000" w:themeColor="text1"/>
                <w:kern w:val="0"/>
                <w:sz w:val="18"/>
                <w:szCs w:val="18"/>
                <w14:textFill>
                  <w14:solidFill>
                    <w14:schemeClr w14:val="tx1"/>
                  </w14:solidFill>
                </w14:textFill>
              </w:rPr>
              <w:t>二</w:t>
            </w:r>
            <w:r>
              <w:rPr>
                <w:rFonts w:ascii="宋体" w:hAnsi="宋体"/>
                <w:color w:val="000000" w:themeColor="text1"/>
                <w:kern w:val="0"/>
                <w:sz w:val="18"/>
                <w:szCs w:val="18"/>
                <w14:textFill>
                  <w14:solidFill>
                    <w14:schemeClr w14:val="tx1"/>
                  </w14:solidFill>
                </w14:textFill>
              </w:rPr>
              <w:t>级</w:t>
            </w:r>
          </w:p>
        </w:tc>
        <w:tc>
          <w:tcPr>
            <w:tcW w:w="2835" w:type="dxa"/>
          </w:tcPr>
          <w:p w14:paraId="440A148C">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第</w:t>
            </w:r>
            <w:r>
              <w:rPr>
                <w:rFonts w:hint="eastAsia" w:ascii="宋体" w:hAnsi="宋体"/>
                <w:color w:val="000000" w:themeColor="text1"/>
                <w:kern w:val="0"/>
                <w:sz w:val="18"/>
                <w:szCs w:val="18"/>
                <w14:textFill>
                  <w14:solidFill>
                    <w14:schemeClr w14:val="tx1"/>
                  </w14:solidFill>
                </w14:textFill>
              </w:rPr>
              <w:t>三</w:t>
            </w:r>
            <w:r>
              <w:rPr>
                <w:rFonts w:ascii="宋体" w:hAnsi="宋体"/>
                <w:color w:val="000000" w:themeColor="text1"/>
                <w:kern w:val="0"/>
                <w:sz w:val="18"/>
                <w:szCs w:val="18"/>
                <w14:textFill>
                  <w14:solidFill>
                    <w14:schemeClr w14:val="tx1"/>
                  </w14:solidFill>
                </w14:textFill>
              </w:rPr>
              <w:t>级</w:t>
            </w:r>
          </w:p>
        </w:tc>
      </w:tr>
    </w:tbl>
    <w:p w14:paraId="42BA322B">
      <w:pPr>
        <w:pStyle w:val="23"/>
        <w:spacing w:before="156" w:after="156"/>
        <w:jc w:val="center"/>
        <w:outlineLvl w:val="1"/>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7C236E90">
      <w:pPr>
        <w:pStyle w:val="23"/>
        <w:spacing w:before="156" w:after="156"/>
        <w:jc w:val="center"/>
        <w:outlineLvl w:val="1"/>
        <w:rPr>
          <w:color w:val="000000" w:themeColor="text1"/>
          <w14:textFill>
            <w14:solidFill>
              <w14:schemeClr w14:val="tx1"/>
            </w14:solidFill>
          </w14:textFill>
        </w:rPr>
      </w:pPr>
      <w:bookmarkStart w:id="271" w:name="_Toc207032583"/>
      <w:r>
        <w:rPr>
          <w:rFonts w:hint="eastAsia"/>
          <w:color w:val="000000" w:themeColor="text1"/>
          <w14:textFill>
            <w14:solidFill>
              <w14:schemeClr w14:val="tx1"/>
            </w14:solidFill>
          </w14:textFill>
        </w:rPr>
        <w:t>附录B</w:t>
      </w:r>
      <w:bookmarkEnd w:id="271"/>
      <w:r>
        <w:rPr>
          <w:rFonts w:hint="eastAsia"/>
          <w:color w:val="000000" w:themeColor="text1"/>
          <w14:textFill>
            <w14:solidFill>
              <w14:schemeClr w14:val="tx1"/>
            </w14:solidFill>
          </w14:textFill>
        </w:rPr>
        <w:t xml:space="preserve"> </w:t>
      </w:r>
    </w:p>
    <w:p w14:paraId="76558D6F">
      <w:pPr>
        <w:pStyle w:val="23"/>
        <w:spacing w:before="156" w:after="156"/>
        <w:jc w:val="center"/>
        <w:outlineLvl w:val="1"/>
        <w:rPr>
          <w:color w:val="000000" w:themeColor="text1"/>
          <w14:textFill>
            <w14:solidFill>
              <w14:schemeClr w14:val="tx1"/>
            </w14:solidFill>
          </w14:textFill>
        </w:rPr>
      </w:pPr>
      <w:bookmarkStart w:id="272" w:name="_Toc207032584"/>
      <w:r>
        <w:rPr>
          <w:rFonts w:hint="eastAsia"/>
          <w:color w:val="000000" w:themeColor="text1"/>
          <w14:textFill>
            <w14:solidFill>
              <w14:schemeClr w14:val="tx1"/>
            </w14:solidFill>
          </w14:textFill>
        </w:rPr>
        <w:t>（资料性）</w:t>
      </w:r>
      <w:bookmarkEnd w:id="272"/>
    </w:p>
    <w:p w14:paraId="4B1FD6BB">
      <w:pPr>
        <w:pStyle w:val="23"/>
        <w:spacing w:before="156" w:after="156"/>
        <w:jc w:val="center"/>
        <w:outlineLvl w:val="1"/>
        <w:rPr>
          <w:color w:val="000000" w:themeColor="text1"/>
          <w14:textFill>
            <w14:solidFill>
              <w14:schemeClr w14:val="tx1"/>
            </w14:solidFill>
          </w14:textFill>
        </w:rPr>
      </w:pPr>
      <w:bookmarkStart w:id="273" w:name="_Toc207032585"/>
      <w:r>
        <w:rPr>
          <w:rFonts w:hint="eastAsia"/>
          <w:color w:val="000000" w:themeColor="text1"/>
          <w14:textFill>
            <w14:solidFill>
              <w14:schemeClr w14:val="tx1"/>
            </w14:solidFill>
          </w14:textFill>
        </w:rPr>
        <w:t>水务行业数据分类分级表</w:t>
      </w:r>
      <w:bookmarkEnd w:id="273"/>
    </w:p>
    <w:p w14:paraId="320BFBBD">
      <w:pPr>
        <w:pStyle w:val="26"/>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根据国家标准 GB/T 43697-2024《数据安全技术 数据分类分级规则》，数据</w:t>
      </w:r>
      <w:r>
        <w:rPr>
          <w:rFonts w:hAnsi="宋体"/>
          <w:color w:val="000000" w:themeColor="text1"/>
          <w:szCs w:val="21"/>
          <w14:textFill>
            <w14:solidFill>
              <w14:schemeClr w14:val="tx1"/>
            </w14:solidFill>
          </w14:textFill>
        </w:rPr>
        <w:t>分为核心数据、重要数据和一般数据三个层级</w:t>
      </w:r>
      <w:r>
        <w:rPr>
          <w:rFonts w:hint="eastAsia" w:hAnsi="宋体"/>
          <w:color w:val="000000" w:themeColor="text1"/>
          <w:szCs w:val="21"/>
          <w14:textFill>
            <w14:solidFill>
              <w14:schemeClr w14:val="tx1"/>
            </w14:solidFill>
          </w14:textFill>
        </w:rPr>
        <w:t>，水务行业数据分类分级见表B</w:t>
      </w:r>
    </w:p>
    <w:p w14:paraId="10C55A27">
      <w:pPr>
        <w:pStyle w:val="3"/>
        <w:spacing w:line="240" w:lineRule="auto"/>
        <w:jc w:val="center"/>
        <w:rPr>
          <w:rFonts w:ascii="黑体" w:hAnsi="黑体"/>
          <w:color w:val="000000" w:themeColor="text1"/>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表 B 水务行业数据分类分级表</w:t>
      </w:r>
    </w:p>
    <w:tbl>
      <w:tblPr>
        <w:tblStyle w:val="14"/>
        <w:tblW w:w="9073" w:type="dxa"/>
        <w:tblInd w:w="-2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4820"/>
        <w:gridCol w:w="3260"/>
      </w:tblGrid>
      <w:tr w14:paraId="71F83D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blHeader/>
        </w:trPr>
        <w:tc>
          <w:tcPr>
            <w:tcW w:w="993" w:type="dxa"/>
            <w:tcBorders>
              <w:top w:val="single" w:color="auto" w:sz="12" w:space="0"/>
              <w:bottom w:val="single" w:color="auto" w:sz="12" w:space="0"/>
            </w:tcBorders>
            <w:vAlign w:val="center"/>
          </w:tcPr>
          <w:p w14:paraId="7E20517F">
            <w:pPr>
              <w:widowControl/>
              <w:spacing w:line="240" w:lineRule="auto"/>
              <w:jc w:val="center"/>
              <w:rPr>
                <w:rFonts w:hAnsi="宋体" w:cs="Arial"/>
                <w:color w:val="000000"/>
                <w:kern w:val="0"/>
                <w:sz w:val="18"/>
                <w:szCs w:val="18"/>
              </w:rPr>
            </w:pPr>
            <w:r>
              <w:rPr>
                <w:rFonts w:hAnsi="宋体" w:cs="Arial"/>
                <w:color w:val="000000"/>
                <w:kern w:val="0"/>
                <w:sz w:val="18"/>
                <w:szCs w:val="18"/>
              </w:rPr>
              <w:t>数据分级级别名称</w:t>
            </w:r>
          </w:p>
        </w:tc>
        <w:tc>
          <w:tcPr>
            <w:tcW w:w="4820" w:type="dxa"/>
            <w:tcBorders>
              <w:top w:val="single" w:color="auto" w:sz="12" w:space="0"/>
              <w:bottom w:val="single" w:color="auto" w:sz="12" w:space="0"/>
            </w:tcBorders>
            <w:vAlign w:val="center"/>
          </w:tcPr>
          <w:p w14:paraId="38E37258">
            <w:pPr>
              <w:widowControl/>
              <w:spacing w:line="240" w:lineRule="auto"/>
              <w:jc w:val="center"/>
              <w:rPr>
                <w:rFonts w:hAnsi="宋体" w:cs="Arial"/>
                <w:color w:val="000000"/>
                <w:kern w:val="0"/>
                <w:sz w:val="18"/>
                <w:szCs w:val="18"/>
              </w:rPr>
            </w:pPr>
            <w:r>
              <w:rPr>
                <w:rFonts w:hAnsi="宋体" w:cs="Arial"/>
                <w:color w:val="000000"/>
                <w:kern w:val="0"/>
                <w:sz w:val="18"/>
                <w:szCs w:val="18"/>
              </w:rPr>
              <w:t>数据实体类别</w:t>
            </w:r>
          </w:p>
        </w:tc>
        <w:tc>
          <w:tcPr>
            <w:tcW w:w="3260" w:type="dxa"/>
            <w:tcBorders>
              <w:top w:val="single" w:color="auto" w:sz="12" w:space="0"/>
              <w:bottom w:val="single" w:color="auto" w:sz="12" w:space="0"/>
            </w:tcBorders>
            <w:vAlign w:val="center"/>
          </w:tcPr>
          <w:p w14:paraId="08A66187">
            <w:pPr>
              <w:widowControl/>
              <w:spacing w:line="240" w:lineRule="auto"/>
              <w:jc w:val="center"/>
              <w:rPr>
                <w:rFonts w:hAnsi="宋体" w:cs="Arial"/>
                <w:color w:val="000000"/>
                <w:kern w:val="0"/>
                <w:sz w:val="18"/>
                <w:szCs w:val="18"/>
              </w:rPr>
            </w:pPr>
            <w:r>
              <w:rPr>
                <w:rFonts w:hint="eastAsia" w:hAnsi="宋体" w:cs="Arial"/>
                <w:color w:val="000000"/>
                <w:kern w:val="0"/>
                <w:sz w:val="18"/>
                <w:szCs w:val="18"/>
              </w:rPr>
              <w:t>数据分类说明</w:t>
            </w:r>
          </w:p>
        </w:tc>
      </w:tr>
      <w:tr w14:paraId="34427D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93" w:type="dxa"/>
            <w:vAlign w:val="center"/>
          </w:tcPr>
          <w:p w14:paraId="5B596014">
            <w:pPr>
              <w:widowControl/>
              <w:spacing w:line="240" w:lineRule="auto"/>
              <w:jc w:val="center"/>
              <w:rPr>
                <w:rFonts w:hAnsi="宋体" w:cs="Arial"/>
                <w:color w:val="000000"/>
                <w:kern w:val="0"/>
                <w:sz w:val="18"/>
                <w:szCs w:val="18"/>
              </w:rPr>
            </w:pPr>
            <w:r>
              <w:rPr>
                <w:rFonts w:hint="eastAsia" w:hAnsi="宋体" w:cs="Arial"/>
                <w:color w:val="000000"/>
                <w:kern w:val="0"/>
                <w:sz w:val="18"/>
                <w:szCs w:val="18"/>
              </w:rPr>
              <w:t>核心数据</w:t>
            </w:r>
          </w:p>
        </w:tc>
        <w:tc>
          <w:tcPr>
            <w:tcW w:w="4820" w:type="dxa"/>
            <w:vAlign w:val="center"/>
          </w:tcPr>
          <w:p w14:paraId="0EC7C53F">
            <w:pPr>
              <w:widowControl/>
              <w:spacing w:line="240" w:lineRule="auto"/>
              <w:jc w:val="center"/>
              <w:rPr>
                <w:rFonts w:hAnsi="宋体" w:cs="Arial"/>
                <w:color w:val="000000"/>
                <w:kern w:val="0"/>
                <w:sz w:val="18"/>
                <w:szCs w:val="18"/>
              </w:rPr>
            </w:pPr>
          </w:p>
          <w:p w14:paraId="20E6BD88">
            <w:pPr>
              <w:widowControl/>
              <w:spacing w:line="240" w:lineRule="auto"/>
              <w:jc w:val="center"/>
              <w:rPr>
                <w:rFonts w:hAnsi="宋体" w:cs="Arial"/>
                <w:color w:val="000000"/>
                <w:kern w:val="0"/>
                <w:sz w:val="18"/>
                <w:szCs w:val="18"/>
              </w:rPr>
            </w:pPr>
            <w:r>
              <w:rPr>
                <w:rFonts w:hAnsi="宋体" w:cs="Arial"/>
                <w:color w:val="000000"/>
                <w:kern w:val="0"/>
                <w:sz w:val="18"/>
                <w:szCs w:val="18"/>
              </w:rPr>
              <w:t>军事类等特殊行业水表运行数据</w:t>
            </w:r>
            <w:r>
              <w:rPr>
                <w:rFonts w:hint="eastAsia" w:hAnsi="宋体" w:cs="Arial"/>
                <w:color w:val="000000"/>
                <w:kern w:val="0"/>
                <w:sz w:val="18"/>
                <w:szCs w:val="18"/>
              </w:rPr>
              <w:t>；</w:t>
            </w:r>
          </w:p>
          <w:p w14:paraId="4F01D45C">
            <w:pPr>
              <w:widowControl/>
              <w:spacing w:line="240" w:lineRule="auto"/>
              <w:jc w:val="center"/>
              <w:rPr>
                <w:rFonts w:hAnsi="宋体" w:cs="Arial"/>
                <w:color w:val="000000"/>
                <w:kern w:val="0"/>
                <w:sz w:val="18"/>
                <w:szCs w:val="18"/>
              </w:rPr>
            </w:pPr>
            <w:r>
              <w:rPr>
                <w:rFonts w:hint="eastAsia" w:hAnsi="宋体" w:cs="Arial"/>
                <w:color w:val="000000"/>
                <w:kern w:val="0"/>
                <w:sz w:val="18"/>
                <w:szCs w:val="18"/>
              </w:rPr>
              <w:t>涉密的</w:t>
            </w:r>
            <w:r>
              <w:rPr>
                <w:rFonts w:hAnsi="宋体" w:cs="Arial"/>
                <w:color w:val="000000"/>
                <w:kern w:val="0"/>
                <w:sz w:val="18"/>
                <w:szCs w:val="18"/>
              </w:rPr>
              <w:t>管网基础设施数据</w:t>
            </w:r>
            <w:r>
              <w:rPr>
                <w:rFonts w:hint="eastAsia" w:hAnsi="宋体" w:cs="Arial"/>
                <w:color w:val="000000"/>
                <w:kern w:val="0"/>
                <w:sz w:val="18"/>
                <w:szCs w:val="18"/>
              </w:rPr>
              <w:t>；</w:t>
            </w:r>
          </w:p>
          <w:p w14:paraId="143CB1FB">
            <w:pPr>
              <w:widowControl/>
              <w:spacing w:line="240" w:lineRule="auto"/>
              <w:jc w:val="center"/>
              <w:rPr>
                <w:rFonts w:hAnsi="宋体" w:cs="Arial"/>
                <w:color w:val="E97132" w:themeColor="accent2"/>
                <w:kern w:val="0"/>
                <w:sz w:val="18"/>
                <w:szCs w:val="18"/>
                <w14:textFill>
                  <w14:solidFill>
                    <w14:schemeClr w14:val="accent2"/>
                  </w14:solidFill>
                </w14:textFill>
              </w:rPr>
            </w:pPr>
            <w:r>
              <w:rPr>
                <w:rFonts w:hint="eastAsia" w:hAnsi="宋体" w:cs="Arial"/>
                <w:color w:val="000000"/>
                <w:kern w:val="0"/>
                <w:sz w:val="18"/>
                <w:szCs w:val="18"/>
              </w:rPr>
              <w:t>……</w:t>
            </w:r>
          </w:p>
        </w:tc>
        <w:tc>
          <w:tcPr>
            <w:tcW w:w="3260" w:type="dxa"/>
          </w:tcPr>
          <w:p w14:paraId="77849484">
            <w:pPr>
              <w:widowControl/>
              <w:spacing w:line="240" w:lineRule="auto"/>
              <w:jc w:val="center"/>
              <w:rPr>
                <w:rFonts w:hAnsi="宋体" w:cs="Arial"/>
                <w:color w:val="E97132" w:themeColor="accent2"/>
                <w:kern w:val="0"/>
                <w:sz w:val="18"/>
                <w:szCs w:val="18"/>
                <w14:textFill>
                  <w14:solidFill>
                    <w14:schemeClr w14:val="accent2"/>
                  </w14:solidFill>
                </w14:textFill>
              </w:rPr>
            </w:pPr>
            <w:r>
              <w:rPr>
                <w:rFonts w:hint="eastAsia" w:hAnsi="宋体" w:cs="Arial"/>
                <w:color w:val="000000"/>
                <w:kern w:val="0"/>
                <w:sz w:val="18"/>
                <w:szCs w:val="18"/>
              </w:rPr>
              <w:t>核心数据主要包括关系国家安全重点领域的数据，关系国民经济命脉、重要民生、重大公共利益的数据，经国家有关部门评估确定的其他数据。</w:t>
            </w:r>
          </w:p>
        </w:tc>
      </w:tr>
      <w:tr w14:paraId="7B06BA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93" w:type="dxa"/>
            <w:vAlign w:val="center"/>
          </w:tcPr>
          <w:p w14:paraId="75E2A4E7">
            <w:pPr>
              <w:widowControl/>
              <w:spacing w:line="240" w:lineRule="auto"/>
              <w:jc w:val="center"/>
              <w:rPr>
                <w:rFonts w:hAnsi="宋体" w:cs="Arial"/>
                <w:color w:val="000000"/>
                <w:kern w:val="0"/>
                <w:sz w:val="18"/>
                <w:szCs w:val="18"/>
              </w:rPr>
            </w:pPr>
            <w:r>
              <w:rPr>
                <w:rFonts w:hint="eastAsia" w:hAnsi="宋体" w:cs="Arial"/>
                <w:color w:val="000000"/>
                <w:kern w:val="0"/>
                <w:sz w:val="18"/>
                <w:szCs w:val="18"/>
              </w:rPr>
              <w:t>重要数据</w:t>
            </w:r>
          </w:p>
        </w:tc>
        <w:tc>
          <w:tcPr>
            <w:tcW w:w="4820" w:type="dxa"/>
            <w:vAlign w:val="center"/>
          </w:tcPr>
          <w:p w14:paraId="12DD1F2B">
            <w:pPr>
              <w:widowControl/>
              <w:spacing w:line="240" w:lineRule="auto"/>
              <w:jc w:val="center"/>
              <w:rPr>
                <w:rFonts w:hAnsi="宋体" w:cs="Arial"/>
                <w:color w:val="000000"/>
                <w:kern w:val="0"/>
                <w:sz w:val="18"/>
                <w:szCs w:val="18"/>
              </w:rPr>
            </w:pPr>
            <w:r>
              <w:rPr>
                <w:rFonts w:hAnsi="宋体" w:cs="Arial"/>
                <w:color w:val="000000"/>
                <w:kern w:val="0"/>
                <w:sz w:val="18"/>
                <w:szCs w:val="18"/>
              </w:rPr>
              <w:t>企业内部重要管理数据</w:t>
            </w:r>
            <w:r>
              <w:rPr>
                <w:rFonts w:hint="eastAsia" w:hAnsi="宋体" w:cs="Arial"/>
                <w:color w:val="000000"/>
                <w:kern w:val="0"/>
                <w:sz w:val="18"/>
                <w:szCs w:val="18"/>
              </w:rPr>
              <w:t>；</w:t>
            </w:r>
          </w:p>
          <w:p w14:paraId="480161CD">
            <w:pPr>
              <w:widowControl/>
              <w:spacing w:line="240" w:lineRule="auto"/>
              <w:jc w:val="center"/>
              <w:rPr>
                <w:rFonts w:hAnsi="宋体" w:cs="Arial"/>
                <w:kern w:val="0"/>
                <w:sz w:val="18"/>
                <w:szCs w:val="18"/>
              </w:rPr>
            </w:pPr>
            <w:r>
              <w:rPr>
                <w:rFonts w:hAnsi="宋体" w:cs="Arial"/>
                <w:kern w:val="0"/>
                <w:sz w:val="18"/>
                <w:szCs w:val="18"/>
              </w:rPr>
              <w:t>企业内部核心管理数据</w:t>
            </w:r>
            <w:r>
              <w:rPr>
                <w:rFonts w:hint="eastAsia" w:hAnsi="宋体" w:cs="Arial"/>
                <w:kern w:val="0"/>
                <w:sz w:val="18"/>
                <w:szCs w:val="18"/>
              </w:rPr>
              <w:t>；</w:t>
            </w:r>
          </w:p>
          <w:p w14:paraId="7811E39D">
            <w:pPr>
              <w:widowControl/>
              <w:spacing w:line="240" w:lineRule="auto"/>
              <w:jc w:val="center"/>
              <w:rPr>
                <w:rFonts w:hAnsi="宋体" w:cs="Arial"/>
                <w:kern w:val="0"/>
                <w:sz w:val="18"/>
                <w:szCs w:val="18"/>
              </w:rPr>
            </w:pPr>
            <w:r>
              <w:rPr>
                <w:rFonts w:hAnsi="宋体" w:cs="Arial"/>
                <w:kern w:val="0"/>
                <w:sz w:val="18"/>
                <w:szCs w:val="18"/>
              </w:rPr>
              <w:t>企业核心经营类数据</w:t>
            </w:r>
            <w:r>
              <w:rPr>
                <w:rFonts w:hint="eastAsia" w:hAnsi="宋体" w:cs="Arial"/>
                <w:kern w:val="0"/>
                <w:sz w:val="18"/>
                <w:szCs w:val="18"/>
              </w:rPr>
              <w:t>；</w:t>
            </w:r>
          </w:p>
          <w:p w14:paraId="6155FEAF">
            <w:pPr>
              <w:widowControl/>
              <w:spacing w:line="240" w:lineRule="auto"/>
              <w:jc w:val="center"/>
              <w:rPr>
                <w:rFonts w:hAnsi="宋体" w:cs="Arial"/>
                <w:kern w:val="0"/>
                <w:sz w:val="18"/>
                <w:szCs w:val="18"/>
              </w:rPr>
            </w:pPr>
            <w:r>
              <w:rPr>
                <w:rFonts w:hAnsi="宋体" w:cs="Arial"/>
                <w:kern w:val="0"/>
                <w:sz w:val="18"/>
                <w:szCs w:val="18"/>
              </w:rPr>
              <w:t>企业核心生产数据</w:t>
            </w:r>
            <w:r>
              <w:rPr>
                <w:rFonts w:hint="eastAsia" w:hAnsi="宋体" w:cs="Arial"/>
                <w:kern w:val="0"/>
                <w:sz w:val="18"/>
                <w:szCs w:val="18"/>
              </w:rPr>
              <w:t>；</w:t>
            </w:r>
          </w:p>
          <w:p w14:paraId="3B187B22">
            <w:pPr>
              <w:widowControl/>
              <w:spacing w:line="240" w:lineRule="auto"/>
              <w:jc w:val="center"/>
              <w:rPr>
                <w:rFonts w:hAnsi="宋体" w:cs="Arial"/>
                <w:color w:val="000000"/>
                <w:kern w:val="0"/>
                <w:sz w:val="18"/>
                <w:szCs w:val="18"/>
              </w:rPr>
            </w:pPr>
            <w:r>
              <w:rPr>
                <w:rFonts w:hAnsi="宋体" w:cs="Arial"/>
                <w:color w:val="000000"/>
                <w:kern w:val="0"/>
                <w:sz w:val="18"/>
                <w:szCs w:val="18"/>
              </w:rPr>
              <w:t>企业内部管理制度及流程</w:t>
            </w:r>
            <w:r>
              <w:rPr>
                <w:rFonts w:hint="eastAsia" w:hAnsi="宋体" w:cs="Arial"/>
                <w:color w:val="000000"/>
                <w:kern w:val="0"/>
                <w:sz w:val="18"/>
                <w:szCs w:val="18"/>
              </w:rPr>
              <w:t>；</w:t>
            </w:r>
          </w:p>
          <w:p w14:paraId="35388EFC">
            <w:pPr>
              <w:widowControl/>
              <w:spacing w:line="240" w:lineRule="auto"/>
              <w:jc w:val="center"/>
              <w:rPr>
                <w:rFonts w:hAnsi="宋体" w:cs="Arial"/>
                <w:color w:val="000000"/>
                <w:kern w:val="0"/>
                <w:sz w:val="18"/>
                <w:szCs w:val="18"/>
              </w:rPr>
            </w:pPr>
            <w:r>
              <w:rPr>
                <w:rFonts w:hAnsi="宋体" w:cs="Arial"/>
                <w:color w:val="000000"/>
                <w:kern w:val="0"/>
                <w:sz w:val="18"/>
                <w:szCs w:val="18"/>
              </w:rPr>
              <w:t>企业重要经营类数据</w:t>
            </w:r>
            <w:r>
              <w:rPr>
                <w:rFonts w:hint="eastAsia" w:hAnsi="宋体" w:cs="Arial"/>
                <w:color w:val="000000"/>
                <w:kern w:val="0"/>
                <w:sz w:val="18"/>
                <w:szCs w:val="18"/>
              </w:rPr>
              <w:t>；</w:t>
            </w:r>
          </w:p>
          <w:p w14:paraId="55D225E6">
            <w:pPr>
              <w:widowControl/>
              <w:spacing w:line="240" w:lineRule="auto"/>
              <w:jc w:val="center"/>
              <w:rPr>
                <w:rFonts w:hAnsi="宋体" w:cs="Arial"/>
                <w:color w:val="000000"/>
                <w:kern w:val="0"/>
                <w:sz w:val="18"/>
                <w:szCs w:val="18"/>
              </w:rPr>
            </w:pPr>
            <w:r>
              <w:rPr>
                <w:rFonts w:hAnsi="宋体" w:cs="Arial"/>
                <w:color w:val="000000"/>
                <w:kern w:val="0"/>
                <w:sz w:val="18"/>
                <w:szCs w:val="18"/>
              </w:rPr>
              <w:t>企业重要生产数据</w:t>
            </w:r>
            <w:r>
              <w:rPr>
                <w:rFonts w:hint="eastAsia" w:hAnsi="宋体" w:cs="Arial"/>
                <w:color w:val="000000"/>
                <w:kern w:val="0"/>
                <w:sz w:val="18"/>
                <w:szCs w:val="18"/>
              </w:rPr>
              <w:t>；</w:t>
            </w:r>
          </w:p>
          <w:p w14:paraId="7A04C5EA">
            <w:pPr>
              <w:widowControl/>
              <w:spacing w:line="240" w:lineRule="auto"/>
              <w:jc w:val="center"/>
              <w:rPr>
                <w:rFonts w:hAnsi="宋体" w:cs="Arial"/>
                <w:kern w:val="0"/>
                <w:sz w:val="18"/>
                <w:szCs w:val="18"/>
              </w:rPr>
            </w:pPr>
            <w:r>
              <w:rPr>
                <w:rFonts w:hAnsi="宋体" w:cs="Arial"/>
                <w:kern w:val="0"/>
                <w:sz w:val="18"/>
                <w:szCs w:val="18"/>
              </w:rPr>
              <w:t>商业机密</w:t>
            </w:r>
            <w:r>
              <w:rPr>
                <w:rFonts w:hint="eastAsia" w:hAnsi="宋体" w:cs="Arial"/>
                <w:kern w:val="0"/>
                <w:sz w:val="18"/>
                <w:szCs w:val="18"/>
              </w:rPr>
              <w:t>；</w:t>
            </w:r>
          </w:p>
          <w:p w14:paraId="24298849">
            <w:pPr>
              <w:widowControl/>
              <w:spacing w:line="240" w:lineRule="auto"/>
              <w:jc w:val="center"/>
              <w:rPr>
                <w:rFonts w:hAnsi="宋体" w:cs="Arial"/>
                <w:kern w:val="0"/>
                <w:sz w:val="18"/>
                <w:szCs w:val="18"/>
              </w:rPr>
            </w:pPr>
            <w:r>
              <w:rPr>
                <w:rFonts w:hAnsi="宋体" w:cs="Arial"/>
                <w:kern w:val="0"/>
                <w:sz w:val="18"/>
                <w:szCs w:val="18"/>
              </w:rPr>
              <w:t>核心技术资料、文档、知识库相关数据</w:t>
            </w:r>
            <w:r>
              <w:rPr>
                <w:rFonts w:hint="eastAsia" w:hAnsi="宋体" w:cs="Arial"/>
                <w:kern w:val="0"/>
                <w:sz w:val="18"/>
                <w:szCs w:val="18"/>
              </w:rPr>
              <w:t>；</w:t>
            </w:r>
          </w:p>
          <w:p w14:paraId="685E301C">
            <w:pPr>
              <w:widowControl/>
              <w:spacing w:line="240" w:lineRule="auto"/>
              <w:jc w:val="center"/>
              <w:rPr>
                <w:rFonts w:hAnsi="宋体" w:cs="Arial"/>
                <w:kern w:val="0"/>
                <w:sz w:val="18"/>
                <w:szCs w:val="18"/>
              </w:rPr>
            </w:pPr>
            <w:r>
              <w:rPr>
                <w:rFonts w:hAnsi="宋体" w:cs="Arial"/>
                <w:kern w:val="0"/>
                <w:sz w:val="18"/>
                <w:szCs w:val="18"/>
              </w:rPr>
              <w:t>核心技术研发、实施、维护相关数据</w:t>
            </w:r>
            <w:r>
              <w:rPr>
                <w:rFonts w:hint="eastAsia" w:hAnsi="宋体" w:cs="Arial"/>
                <w:kern w:val="0"/>
                <w:sz w:val="18"/>
                <w:szCs w:val="18"/>
              </w:rPr>
              <w:t>；</w:t>
            </w:r>
          </w:p>
          <w:p w14:paraId="006888FA">
            <w:pPr>
              <w:widowControl/>
              <w:spacing w:line="240" w:lineRule="auto"/>
              <w:jc w:val="center"/>
              <w:rPr>
                <w:rFonts w:hAnsi="宋体" w:cs="Arial"/>
                <w:kern w:val="0"/>
                <w:sz w:val="18"/>
                <w:szCs w:val="18"/>
              </w:rPr>
            </w:pPr>
            <w:r>
              <w:rPr>
                <w:rFonts w:hAnsi="宋体" w:cs="Arial"/>
                <w:kern w:val="0"/>
                <w:sz w:val="18"/>
                <w:szCs w:val="18"/>
              </w:rPr>
              <w:t>IT软硬件管理员账号密码、密钥类</w:t>
            </w:r>
            <w:r>
              <w:rPr>
                <w:rFonts w:hint="eastAsia" w:hAnsi="宋体" w:cs="Arial"/>
                <w:kern w:val="0"/>
                <w:sz w:val="18"/>
                <w:szCs w:val="18"/>
              </w:rPr>
              <w:t>；</w:t>
            </w:r>
          </w:p>
          <w:p w14:paraId="455B9A63">
            <w:pPr>
              <w:widowControl/>
              <w:spacing w:line="240" w:lineRule="auto"/>
              <w:jc w:val="center"/>
              <w:rPr>
                <w:rFonts w:hAnsi="宋体" w:cs="Arial"/>
                <w:color w:val="000000"/>
                <w:kern w:val="0"/>
                <w:sz w:val="18"/>
                <w:szCs w:val="18"/>
              </w:rPr>
            </w:pPr>
            <w:r>
              <w:rPr>
                <w:rFonts w:hAnsi="宋体" w:cs="Arial"/>
                <w:color w:val="000000"/>
                <w:kern w:val="0"/>
                <w:sz w:val="18"/>
                <w:szCs w:val="18"/>
              </w:rPr>
              <w:t>客户身份和标识信息</w:t>
            </w:r>
            <w:r>
              <w:rPr>
                <w:rFonts w:hint="eastAsia" w:hAnsi="宋体" w:cs="Arial"/>
                <w:color w:val="000000"/>
                <w:kern w:val="0"/>
                <w:sz w:val="18"/>
                <w:szCs w:val="18"/>
              </w:rPr>
              <w:t>；</w:t>
            </w:r>
          </w:p>
          <w:p w14:paraId="663EB150">
            <w:pPr>
              <w:widowControl/>
              <w:spacing w:line="240" w:lineRule="auto"/>
              <w:jc w:val="center"/>
              <w:rPr>
                <w:rFonts w:hAnsi="宋体" w:cs="Arial"/>
                <w:color w:val="000000"/>
                <w:kern w:val="0"/>
                <w:sz w:val="18"/>
                <w:szCs w:val="18"/>
              </w:rPr>
            </w:pPr>
            <w:r>
              <w:rPr>
                <w:rFonts w:hAnsi="宋体" w:cs="Arial"/>
                <w:color w:val="000000"/>
                <w:kern w:val="0"/>
                <w:sz w:val="18"/>
                <w:szCs w:val="18"/>
              </w:rPr>
              <w:t>自然人身份标识</w:t>
            </w:r>
            <w:r>
              <w:rPr>
                <w:rFonts w:hint="eastAsia" w:hAnsi="宋体" w:cs="Arial"/>
                <w:color w:val="000000"/>
                <w:kern w:val="0"/>
                <w:sz w:val="18"/>
                <w:szCs w:val="18"/>
              </w:rPr>
              <w:t>；</w:t>
            </w:r>
          </w:p>
          <w:p w14:paraId="0E254120">
            <w:pPr>
              <w:widowControl/>
              <w:spacing w:line="240" w:lineRule="auto"/>
              <w:jc w:val="center"/>
              <w:rPr>
                <w:rFonts w:hAnsi="宋体" w:cs="Arial"/>
                <w:color w:val="000000"/>
                <w:kern w:val="0"/>
                <w:sz w:val="18"/>
                <w:szCs w:val="18"/>
              </w:rPr>
            </w:pPr>
            <w:r>
              <w:rPr>
                <w:rFonts w:hAnsi="宋体" w:cs="Arial"/>
                <w:color w:val="000000"/>
                <w:kern w:val="0"/>
                <w:sz w:val="18"/>
                <w:szCs w:val="18"/>
              </w:rPr>
              <w:t>用户基本资料</w:t>
            </w:r>
            <w:r>
              <w:rPr>
                <w:rFonts w:hint="eastAsia" w:hAnsi="宋体" w:cs="Arial"/>
                <w:color w:val="000000"/>
                <w:kern w:val="0"/>
                <w:sz w:val="18"/>
                <w:szCs w:val="18"/>
              </w:rPr>
              <w:t>；</w:t>
            </w:r>
          </w:p>
          <w:p w14:paraId="46403427">
            <w:pPr>
              <w:widowControl/>
              <w:spacing w:line="240" w:lineRule="auto"/>
              <w:jc w:val="center"/>
              <w:rPr>
                <w:rFonts w:hAnsi="宋体" w:cs="Arial"/>
                <w:color w:val="000000"/>
                <w:kern w:val="0"/>
                <w:sz w:val="18"/>
                <w:szCs w:val="18"/>
              </w:rPr>
            </w:pPr>
            <w:r>
              <w:rPr>
                <w:rFonts w:hAnsi="宋体" w:cs="Arial"/>
                <w:color w:val="000000"/>
                <w:kern w:val="0"/>
                <w:sz w:val="18"/>
                <w:szCs w:val="18"/>
              </w:rPr>
              <w:t>实体身份证明</w:t>
            </w:r>
            <w:r>
              <w:rPr>
                <w:rFonts w:hint="eastAsia" w:hAnsi="宋体" w:cs="Arial"/>
                <w:color w:val="000000"/>
                <w:kern w:val="0"/>
                <w:sz w:val="18"/>
                <w:szCs w:val="18"/>
              </w:rPr>
              <w:t>；</w:t>
            </w:r>
          </w:p>
          <w:p w14:paraId="281D999B">
            <w:pPr>
              <w:widowControl/>
              <w:spacing w:line="240" w:lineRule="auto"/>
              <w:jc w:val="center"/>
              <w:rPr>
                <w:rFonts w:hAnsi="宋体" w:cs="Arial"/>
                <w:color w:val="000000"/>
                <w:kern w:val="0"/>
                <w:sz w:val="18"/>
                <w:szCs w:val="18"/>
              </w:rPr>
            </w:pPr>
            <w:r>
              <w:rPr>
                <w:rFonts w:hAnsi="宋体" w:cs="Arial"/>
                <w:color w:val="000000"/>
                <w:kern w:val="0"/>
                <w:sz w:val="18"/>
                <w:szCs w:val="18"/>
              </w:rPr>
              <w:t>客户私密资料</w:t>
            </w:r>
            <w:r>
              <w:rPr>
                <w:rFonts w:hint="eastAsia" w:hAnsi="宋体" w:cs="Arial"/>
                <w:color w:val="000000"/>
                <w:kern w:val="0"/>
                <w:sz w:val="18"/>
                <w:szCs w:val="18"/>
              </w:rPr>
              <w:t>；</w:t>
            </w:r>
          </w:p>
          <w:p w14:paraId="129A9632">
            <w:pPr>
              <w:widowControl/>
              <w:spacing w:line="240" w:lineRule="auto"/>
              <w:jc w:val="center"/>
              <w:rPr>
                <w:rFonts w:hAnsi="宋体" w:cs="Arial"/>
                <w:color w:val="000000"/>
                <w:kern w:val="0"/>
                <w:sz w:val="18"/>
                <w:szCs w:val="18"/>
              </w:rPr>
            </w:pPr>
            <w:r>
              <w:rPr>
                <w:rFonts w:hAnsi="宋体" w:cs="Arial"/>
                <w:color w:val="000000"/>
                <w:kern w:val="0"/>
                <w:sz w:val="18"/>
                <w:szCs w:val="18"/>
              </w:rPr>
              <w:t>重要技术资料、文档、知识库相关数据</w:t>
            </w:r>
            <w:r>
              <w:rPr>
                <w:rFonts w:hint="eastAsia" w:hAnsi="宋体" w:cs="Arial"/>
                <w:color w:val="000000"/>
                <w:kern w:val="0"/>
                <w:sz w:val="18"/>
                <w:szCs w:val="18"/>
              </w:rPr>
              <w:t>；</w:t>
            </w:r>
          </w:p>
          <w:p w14:paraId="4F80A932">
            <w:pPr>
              <w:widowControl/>
              <w:spacing w:line="240" w:lineRule="auto"/>
              <w:jc w:val="center"/>
              <w:rPr>
                <w:rFonts w:hAnsi="宋体" w:cs="Arial"/>
                <w:color w:val="000000"/>
                <w:kern w:val="0"/>
                <w:sz w:val="18"/>
                <w:szCs w:val="18"/>
              </w:rPr>
            </w:pPr>
            <w:r>
              <w:rPr>
                <w:rFonts w:hAnsi="宋体" w:cs="Arial"/>
                <w:color w:val="000000"/>
                <w:kern w:val="0"/>
                <w:sz w:val="18"/>
                <w:szCs w:val="18"/>
              </w:rPr>
              <w:t>重要技术研发、实施、维护相关数据</w:t>
            </w:r>
            <w:r>
              <w:rPr>
                <w:rFonts w:hint="eastAsia" w:hAnsi="宋体" w:cs="Arial"/>
                <w:color w:val="000000"/>
                <w:kern w:val="0"/>
                <w:sz w:val="18"/>
                <w:szCs w:val="18"/>
              </w:rPr>
              <w:t>；</w:t>
            </w:r>
          </w:p>
          <w:p w14:paraId="15E7C360">
            <w:pPr>
              <w:widowControl/>
              <w:spacing w:line="240" w:lineRule="auto"/>
              <w:jc w:val="center"/>
              <w:rPr>
                <w:rFonts w:hAnsi="宋体" w:cs="Arial"/>
                <w:color w:val="000000"/>
                <w:kern w:val="0"/>
                <w:sz w:val="18"/>
                <w:szCs w:val="18"/>
              </w:rPr>
            </w:pPr>
            <w:r>
              <w:rPr>
                <w:rFonts w:hAnsi="宋体" w:cs="Arial"/>
                <w:color w:val="000000"/>
                <w:kern w:val="0"/>
                <w:sz w:val="18"/>
                <w:szCs w:val="18"/>
              </w:rPr>
              <w:t>IT软硬件非管理员账号密码、密钥类</w:t>
            </w:r>
            <w:r>
              <w:rPr>
                <w:rFonts w:hint="eastAsia" w:hAnsi="宋体" w:cs="Arial"/>
                <w:color w:val="000000"/>
                <w:kern w:val="0"/>
                <w:sz w:val="18"/>
                <w:szCs w:val="18"/>
              </w:rPr>
              <w:t>；</w:t>
            </w:r>
          </w:p>
          <w:p w14:paraId="773EF60A">
            <w:pPr>
              <w:widowControl/>
              <w:spacing w:line="240" w:lineRule="auto"/>
              <w:jc w:val="center"/>
              <w:rPr>
                <w:rFonts w:hAnsi="宋体" w:cs="Arial"/>
                <w:color w:val="000000"/>
                <w:kern w:val="0"/>
                <w:sz w:val="18"/>
                <w:szCs w:val="18"/>
              </w:rPr>
            </w:pPr>
            <w:r>
              <w:rPr>
                <w:rFonts w:hAnsi="宋体" w:cs="Arial"/>
                <w:color w:val="000000"/>
                <w:kern w:val="0"/>
                <w:sz w:val="18"/>
                <w:szCs w:val="18"/>
              </w:rPr>
              <w:t>资产档案</w:t>
            </w:r>
            <w:r>
              <w:rPr>
                <w:rFonts w:hint="eastAsia" w:hAnsi="宋体" w:cs="Arial"/>
                <w:color w:val="000000"/>
                <w:kern w:val="0"/>
                <w:sz w:val="18"/>
                <w:szCs w:val="18"/>
              </w:rPr>
              <w:t>；</w:t>
            </w:r>
          </w:p>
          <w:p w14:paraId="4571D85E">
            <w:pPr>
              <w:widowControl/>
              <w:spacing w:line="240" w:lineRule="auto"/>
              <w:jc w:val="center"/>
              <w:rPr>
                <w:rFonts w:hAnsi="宋体" w:cs="Arial"/>
                <w:color w:val="000000"/>
                <w:kern w:val="0"/>
                <w:sz w:val="18"/>
                <w:szCs w:val="18"/>
              </w:rPr>
            </w:pPr>
            <w:r>
              <w:rPr>
                <w:rFonts w:hAnsi="宋体" w:cs="Arial"/>
                <w:color w:val="000000"/>
                <w:kern w:val="0"/>
                <w:sz w:val="18"/>
                <w:szCs w:val="18"/>
              </w:rPr>
              <w:t>厂区、泵站、管网布局等相关数据</w:t>
            </w:r>
            <w:r>
              <w:rPr>
                <w:rFonts w:hint="eastAsia" w:hAnsi="宋体" w:cs="Arial"/>
                <w:color w:val="000000"/>
                <w:kern w:val="0"/>
                <w:sz w:val="18"/>
                <w:szCs w:val="18"/>
              </w:rPr>
              <w:t>；</w:t>
            </w:r>
          </w:p>
          <w:p w14:paraId="3B865601">
            <w:pPr>
              <w:widowControl/>
              <w:spacing w:line="240" w:lineRule="auto"/>
              <w:jc w:val="center"/>
              <w:rPr>
                <w:rFonts w:hAnsi="宋体" w:cs="Arial"/>
                <w:color w:val="000000"/>
                <w:kern w:val="0"/>
                <w:sz w:val="18"/>
                <w:szCs w:val="18"/>
              </w:rPr>
            </w:pPr>
            <w:r>
              <w:rPr>
                <w:rFonts w:hint="eastAsia" w:hAnsi="宋体" w:cs="Arial"/>
                <w:color w:val="000000"/>
                <w:kern w:val="0"/>
                <w:sz w:val="18"/>
                <w:szCs w:val="18"/>
              </w:rPr>
              <w:t>非涉密的</w:t>
            </w:r>
            <w:r>
              <w:rPr>
                <w:rFonts w:hAnsi="宋体" w:cs="Arial"/>
                <w:color w:val="000000"/>
                <w:kern w:val="0"/>
                <w:sz w:val="18"/>
                <w:szCs w:val="18"/>
              </w:rPr>
              <w:t>管网基础设施数据</w:t>
            </w:r>
            <w:r>
              <w:rPr>
                <w:rFonts w:hint="eastAsia" w:hAnsi="宋体" w:cs="Arial"/>
                <w:color w:val="000000"/>
                <w:kern w:val="0"/>
                <w:sz w:val="18"/>
                <w:szCs w:val="18"/>
              </w:rPr>
              <w:t>；</w:t>
            </w:r>
          </w:p>
          <w:p w14:paraId="2B9E459F">
            <w:pPr>
              <w:widowControl/>
              <w:spacing w:line="240" w:lineRule="auto"/>
              <w:jc w:val="center"/>
              <w:rPr>
                <w:rFonts w:hAnsi="宋体" w:cs="Arial"/>
                <w:color w:val="000000"/>
                <w:kern w:val="0"/>
                <w:sz w:val="18"/>
                <w:szCs w:val="18"/>
              </w:rPr>
            </w:pPr>
            <w:r>
              <w:rPr>
                <w:rFonts w:hint="eastAsia" w:hAnsi="宋体" w:cs="Arial"/>
                <w:color w:val="000000"/>
                <w:kern w:val="0"/>
                <w:sz w:val="18"/>
                <w:szCs w:val="18"/>
              </w:rPr>
              <w:t>……</w:t>
            </w:r>
          </w:p>
        </w:tc>
        <w:tc>
          <w:tcPr>
            <w:tcW w:w="3260" w:type="dxa"/>
            <w:vAlign w:val="center"/>
          </w:tcPr>
          <w:p w14:paraId="71E1B5C2">
            <w:pPr>
              <w:widowControl/>
              <w:spacing w:line="240" w:lineRule="auto"/>
              <w:jc w:val="center"/>
              <w:rPr>
                <w:rFonts w:hAnsi="宋体" w:cs="Arial"/>
                <w:color w:val="000000"/>
                <w:kern w:val="0"/>
                <w:sz w:val="18"/>
                <w:szCs w:val="18"/>
              </w:rPr>
            </w:pPr>
            <w:r>
              <w:rPr>
                <w:rFonts w:hint="eastAsia" w:hAnsi="宋体" w:cs="Arial"/>
                <w:color w:val="000000"/>
                <w:kern w:val="0"/>
                <w:sz w:val="18"/>
                <w:szCs w:val="18"/>
              </w:rPr>
              <w:t>重要数据是指特定领域、特定群体、特定区域或达到一定精度和规模的，一旦被泄露或篡改、损毁，可能直接危害国家安全、经济运行、社会稳定、公共健康和安全的数据。仅影响组织自身或公民个体的数据一般不作为重要数据。</w:t>
            </w:r>
          </w:p>
        </w:tc>
      </w:tr>
      <w:tr w14:paraId="1D851D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93" w:type="dxa"/>
            <w:vAlign w:val="center"/>
          </w:tcPr>
          <w:p w14:paraId="4C3C16B0">
            <w:pPr>
              <w:widowControl/>
              <w:spacing w:line="240" w:lineRule="auto"/>
              <w:jc w:val="center"/>
              <w:rPr>
                <w:rFonts w:hAnsi="宋体" w:cs="Arial"/>
                <w:color w:val="000000"/>
                <w:kern w:val="0"/>
                <w:sz w:val="18"/>
                <w:szCs w:val="18"/>
              </w:rPr>
            </w:pPr>
            <w:r>
              <w:rPr>
                <w:rFonts w:hint="eastAsia" w:hAnsi="宋体" w:cs="Arial"/>
                <w:color w:val="000000"/>
                <w:kern w:val="0"/>
                <w:sz w:val="18"/>
                <w:szCs w:val="18"/>
              </w:rPr>
              <w:t>一般数据</w:t>
            </w:r>
          </w:p>
        </w:tc>
        <w:tc>
          <w:tcPr>
            <w:tcW w:w="4820" w:type="dxa"/>
            <w:vAlign w:val="center"/>
          </w:tcPr>
          <w:p w14:paraId="383F4CC2">
            <w:pPr>
              <w:widowControl/>
              <w:spacing w:line="240" w:lineRule="auto"/>
              <w:jc w:val="center"/>
              <w:rPr>
                <w:rFonts w:hAnsi="宋体" w:cs="Arial"/>
                <w:color w:val="000000"/>
                <w:kern w:val="0"/>
                <w:sz w:val="18"/>
                <w:szCs w:val="18"/>
              </w:rPr>
            </w:pPr>
            <w:r>
              <w:rPr>
                <w:rFonts w:hint="eastAsia" w:hAnsi="宋体" w:cs="Arial"/>
                <w:color w:val="000000"/>
                <w:kern w:val="0"/>
                <w:sz w:val="18"/>
                <w:szCs w:val="18"/>
              </w:rPr>
              <w:t>企业公开披露信息；</w:t>
            </w:r>
          </w:p>
          <w:p w14:paraId="6F707AC0">
            <w:pPr>
              <w:widowControl/>
              <w:spacing w:line="240" w:lineRule="auto"/>
              <w:jc w:val="center"/>
              <w:rPr>
                <w:rFonts w:hAnsi="宋体" w:cs="Arial"/>
                <w:color w:val="000000"/>
                <w:kern w:val="0"/>
                <w:sz w:val="18"/>
                <w:szCs w:val="18"/>
              </w:rPr>
            </w:pPr>
            <w:r>
              <w:rPr>
                <w:rFonts w:hint="eastAsia" w:hAnsi="宋体" w:cs="Arial"/>
                <w:color w:val="000000"/>
                <w:kern w:val="0"/>
                <w:sz w:val="18"/>
                <w:szCs w:val="18"/>
              </w:rPr>
              <w:t>已注册的专利、商标、知识产权信息；</w:t>
            </w:r>
          </w:p>
          <w:p w14:paraId="49221481">
            <w:pPr>
              <w:widowControl/>
              <w:spacing w:line="240" w:lineRule="auto"/>
              <w:jc w:val="center"/>
              <w:rPr>
                <w:rFonts w:hAnsi="宋体" w:cs="Arial"/>
                <w:color w:val="000000"/>
                <w:kern w:val="0"/>
                <w:sz w:val="18"/>
                <w:szCs w:val="18"/>
              </w:rPr>
            </w:pPr>
            <w:r>
              <w:rPr>
                <w:rFonts w:hint="eastAsia" w:hAnsi="宋体" w:cs="Arial"/>
                <w:color w:val="000000"/>
                <w:kern w:val="0"/>
                <w:sz w:val="18"/>
                <w:szCs w:val="18"/>
              </w:rPr>
              <w:t>企业内部一般管理数据；</w:t>
            </w:r>
          </w:p>
          <w:p w14:paraId="3B798356">
            <w:pPr>
              <w:widowControl/>
              <w:spacing w:line="240" w:lineRule="auto"/>
              <w:jc w:val="center"/>
              <w:rPr>
                <w:rFonts w:hAnsi="宋体" w:cs="Arial"/>
                <w:color w:val="000000"/>
                <w:kern w:val="0"/>
                <w:sz w:val="18"/>
                <w:szCs w:val="18"/>
              </w:rPr>
            </w:pPr>
            <w:r>
              <w:rPr>
                <w:rFonts w:hint="eastAsia" w:hAnsi="宋体" w:cs="Arial"/>
                <w:color w:val="000000"/>
                <w:kern w:val="0"/>
                <w:sz w:val="18"/>
                <w:szCs w:val="18"/>
              </w:rPr>
              <w:t>市场一般经营类数据；</w:t>
            </w:r>
          </w:p>
          <w:p w14:paraId="3FB0585A">
            <w:pPr>
              <w:widowControl/>
              <w:spacing w:line="240" w:lineRule="auto"/>
              <w:jc w:val="center"/>
              <w:rPr>
                <w:rFonts w:hAnsi="宋体" w:cs="Arial"/>
                <w:color w:val="000000"/>
                <w:kern w:val="0"/>
                <w:sz w:val="18"/>
                <w:szCs w:val="18"/>
              </w:rPr>
            </w:pPr>
            <w:r>
              <w:rPr>
                <w:rFonts w:hint="eastAsia" w:hAnsi="宋体" w:cs="Arial"/>
                <w:color w:val="000000"/>
                <w:kern w:val="0"/>
                <w:sz w:val="18"/>
                <w:szCs w:val="18"/>
              </w:rPr>
              <w:t>企业一般生产数据；</w:t>
            </w:r>
          </w:p>
          <w:p w14:paraId="6B3A53ED">
            <w:pPr>
              <w:widowControl/>
              <w:spacing w:line="240" w:lineRule="auto"/>
              <w:jc w:val="center"/>
              <w:rPr>
                <w:rFonts w:hAnsi="宋体" w:cs="Arial"/>
                <w:color w:val="000000"/>
                <w:kern w:val="0"/>
                <w:sz w:val="18"/>
                <w:szCs w:val="18"/>
              </w:rPr>
            </w:pPr>
            <w:r>
              <w:rPr>
                <w:rFonts w:hint="eastAsia" w:hAnsi="宋体" w:cs="Arial"/>
                <w:color w:val="000000"/>
                <w:kern w:val="0"/>
                <w:sz w:val="18"/>
                <w:szCs w:val="18"/>
              </w:rPr>
              <w:t>管网、水表运行数据；</w:t>
            </w:r>
          </w:p>
          <w:p w14:paraId="37B2A621">
            <w:pPr>
              <w:widowControl/>
              <w:spacing w:line="240" w:lineRule="auto"/>
              <w:jc w:val="center"/>
              <w:rPr>
                <w:rFonts w:hAnsi="宋体" w:cs="Arial"/>
                <w:color w:val="000000"/>
                <w:kern w:val="0"/>
                <w:sz w:val="18"/>
                <w:szCs w:val="18"/>
              </w:rPr>
            </w:pPr>
            <w:r>
              <w:rPr>
                <w:rFonts w:hint="eastAsia" w:hAnsi="宋体" w:cs="Arial"/>
                <w:color w:val="000000"/>
                <w:kern w:val="0"/>
                <w:sz w:val="18"/>
                <w:szCs w:val="18"/>
              </w:rPr>
              <w:t>客户关系相关数据；</w:t>
            </w:r>
          </w:p>
          <w:p w14:paraId="5B9C23B7">
            <w:pPr>
              <w:widowControl/>
              <w:spacing w:line="240" w:lineRule="auto"/>
              <w:jc w:val="center"/>
              <w:rPr>
                <w:rFonts w:hAnsi="宋体" w:cs="Arial"/>
                <w:color w:val="000000"/>
                <w:kern w:val="0"/>
                <w:sz w:val="18"/>
                <w:szCs w:val="18"/>
              </w:rPr>
            </w:pPr>
            <w:r>
              <w:rPr>
                <w:rFonts w:hint="eastAsia" w:hAnsi="宋体" w:cs="Arial"/>
                <w:color w:val="000000"/>
                <w:kern w:val="0"/>
                <w:sz w:val="18"/>
                <w:szCs w:val="18"/>
              </w:rPr>
              <w:t>客户服务记录数据；</w:t>
            </w:r>
          </w:p>
          <w:p w14:paraId="10131A9F">
            <w:pPr>
              <w:widowControl/>
              <w:spacing w:line="240" w:lineRule="auto"/>
              <w:jc w:val="center"/>
              <w:rPr>
                <w:rFonts w:hAnsi="宋体" w:cs="Arial"/>
                <w:color w:val="000000"/>
                <w:kern w:val="0"/>
                <w:sz w:val="18"/>
                <w:szCs w:val="18"/>
              </w:rPr>
            </w:pPr>
            <w:r>
              <w:rPr>
                <w:rFonts w:hint="eastAsia" w:hAnsi="宋体" w:cs="Arial"/>
                <w:color w:val="000000"/>
                <w:kern w:val="0"/>
                <w:sz w:val="18"/>
                <w:szCs w:val="18"/>
              </w:rPr>
              <w:t>水费等费用收缴相关数据；</w:t>
            </w:r>
          </w:p>
          <w:p w14:paraId="47F0F1E5">
            <w:pPr>
              <w:widowControl/>
              <w:spacing w:line="240" w:lineRule="auto"/>
              <w:jc w:val="center"/>
              <w:rPr>
                <w:rFonts w:hAnsi="宋体" w:cs="Arial"/>
                <w:color w:val="000000"/>
                <w:kern w:val="0"/>
                <w:sz w:val="18"/>
                <w:szCs w:val="18"/>
              </w:rPr>
            </w:pPr>
            <w:r>
              <w:rPr>
                <w:rFonts w:hint="eastAsia" w:hAnsi="宋体" w:cs="Arial"/>
                <w:color w:val="000000"/>
                <w:kern w:val="0"/>
                <w:sz w:val="18"/>
                <w:szCs w:val="18"/>
              </w:rPr>
              <w:t>一般技术资料、文档、知识库相关数据；</w:t>
            </w:r>
          </w:p>
          <w:p w14:paraId="017CB783">
            <w:pPr>
              <w:widowControl/>
              <w:spacing w:line="240" w:lineRule="auto"/>
              <w:jc w:val="center"/>
              <w:rPr>
                <w:rFonts w:hAnsi="宋体" w:cs="Arial"/>
                <w:color w:val="000000"/>
                <w:kern w:val="0"/>
                <w:sz w:val="18"/>
                <w:szCs w:val="18"/>
              </w:rPr>
            </w:pPr>
            <w:r>
              <w:rPr>
                <w:rFonts w:hint="eastAsia" w:hAnsi="宋体" w:cs="Arial"/>
                <w:color w:val="000000"/>
                <w:kern w:val="0"/>
                <w:sz w:val="18"/>
                <w:szCs w:val="18"/>
              </w:rPr>
              <w:t>一般技术研发、实施、维护相关数据；</w:t>
            </w:r>
          </w:p>
          <w:p w14:paraId="2898BD7C">
            <w:pPr>
              <w:widowControl/>
              <w:spacing w:line="240" w:lineRule="auto"/>
              <w:jc w:val="center"/>
              <w:rPr>
                <w:rFonts w:hAnsi="宋体" w:cs="Arial"/>
                <w:color w:val="000000"/>
                <w:kern w:val="0"/>
                <w:sz w:val="18"/>
                <w:szCs w:val="18"/>
              </w:rPr>
            </w:pPr>
            <w:r>
              <w:rPr>
                <w:rFonts w:hint="eastAsia" w:hAnsi="宋体" w:cs="Arial"/>
                <w:color w:val="000000"/>
                <w:kern w:val="0"/>
                <w:sz w:val="18"/>
                <w:szCs w:val="18"/>
              </w:rPr>
              <w:t>资产新增、维护、报废等资产生命周期相关数据；</w:t>
            </w:r>
          </w:p>
          <w:p w14:paraId="06AA0DED">
            <w:pPr>
              <w:widowControl/>
              <w:spacing w:line="240" w:lineRule="auto"/>
              <w:jc w:val="center"/>
              <w:rPr>
                <w:rFonts w:hAnsi="宋体" w:cs="Arial"/>
                <w:color w:val="000000"/>
                <w:kern w:val="0"/>
                <w:sz w:val="18"/>
                <w:szCs w:val="18"/>
              </w:rPr>
            </w:pPr>
            <w:r>
              <w:rPr>
                <w:rFonts w:hint="eastAsia" w:hAnsi="宋体" w:cs="Arial"/>
                <w:color w:val="000000"/>
                <w:kern w:val="0"/>
                <w:sz w:val="18"/>
                <w:szCs w:val="18"/>
              </w:rPr>
              <w:t>……</w:t>
            </w:r>
          </w:p>
        </w:tc>
        <w:tc>
          <w:tcPr>
            <w:tcW w:w="3260" w:type="dxa"/>
            <w:vAlign w:val="center"/>
          </w:tcPr>
          <w:p w14:paraId="44E4EDD7">
            <w:pPr>
              <w:widowControl/>
              <w:spacing w:line="240" w:lineRule="auto"/>
              <w:jc w:val="center"/>
              <w:rPr>
                <w:rFonts w:hAnsi="宋体" w:cs="Arial"/>
                <w:color w:val="000000"/>
                <w:kern w:val="0"/>
                <w:sz w:val="18"/>
                <w:szCs w:val="18"/>
              </w:rPr>
            </w:pPr>
            <w:r>
              <w:rPr>
                <w:rFonts w:hint="eastAsia" w:hAnsi="宋体" w:cs="Arial"/>
                <w:color w:val="000000"/>
                <w:kern w:val="0"/>
                <w:sz w:val="18"/>
                <w:szCs w:val="18"/>
              </w:rPr>
              <w:t>一般数据是核心数据、重要数据之外的其他数据。一般数据还可细分为敏感数据和其他一般数据，其中敏感数据是指一旦被泄露或者篡改、损毁，对经济运行、社会稳定、公共利益有一定影响，或者对组织自身或者公民个体造成重要影响的数据.</w:t>
            </w:r>
          </w:p>
        </w:tc>
      </w:tr>
      <w:tr w14:paraId="7F5EE7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073" w:type="dxa"/>
            <w:gridSpan w:val="3"/>
            <w:vAlign w:val="center"/>
          </w:tcPr>
          <w:p w14:paraId="16D4DE3F">
            <w:pPr>
              <w:widowControl/>
              <w:spacing w:line="240" w:lineRule="auto"/>
              <w:jc w:val="center"/>
              <w:rPr>
                <w:rFonts w:hAnsi="宋体" w:cs="Arial"/>
                <w:color w:val="000000"/>
                <w:kern w:val="0"/>
                <w:sz w:val="18"/>
                <w:szCs w:val="18"/>
              </w:rPr>
            </w:pPr>
            <w:r>
              <w:rPr>
                <w:rFonts w:ascii="黑体" w:hAnsi="黑体" w:eastAsia="黑体" w:cs="Arial"/>
                <w:color w:val="000000"/>
                <w:kern w:val="0"/>
                <w:sz w:val="18"/>
                <w:szCs w:val="18"/>
              </w:rPr>
              <w:t>注：</w:t>
            </w:r>
            <w:r>
              <w:rPr>
                <w:rFonts w:hAnsi="宋体" w:cs="Arial"/>
                <w:color w:val="000000"/>
                <w:kern w:val="0"/>
                <w:sz w:val="18"/>
                <w:szCs w:val="18"/>
              </w:rPr>
              <w:t>不在以上数据实体类别的数据，可根据实际在对应数据分级名称下进行类别补充或类别名称调整。</w:t>
            </w:r>
          </w:p>
        </w:tc>
      </w:tr>
    </w:tbl>
    <w:p w14:paraId="76D5F1CB">
      <w:pPr>
        <w:pStyle w:val="26"/>
        <w:ind w:firstLine="420"/>
        <w:rPr>
          <w:rFonts w:hAnsi="宋体"/>
          <w:color w:val="000000" w:themeColor="text1"/>
          <w:szCs w:val="21"/>
          <w14:textFill>
            <w14:solidFill>
              <w14:schemeClr w14:val="tx1"/>
            </w14:solidFill>
          </w14:textFill>
        </w:rPr>
      </w:pPr>
    </w:p>
    <w:p w14:paraId="08A9EF10">
      <w:pPr>
        <w:pStyle w:val="26"/>
        <w:ind w:firstLine="420"/>
        <w:rPr>
          <w:rFonts w:hAnsi="宋体"/>
          <w:color w:val="000000" w:themeColor="text1"/>
          <w:szCs w:val="21"/>
          <w14:textFill>
            <w14:solidFill>
              <w14:schemeClr w14:val="tx1"/>
            </w14:solidFill>
          </w14:textFill>
        </w:rPr>
      </w:pPr>
    </w:p>
    <w:p w14:paraId="7A44E518">
      <w:pPr>
        <w:pStyle w:val="26"/>
        <w:ind w:firstLine="420"/>
        <w:rPr>
          <w:rFonts w:hAnsi="宋体"/>
          <w:color w:val="000000" w:themeColor="text1"/>
          <w:szCs w:val="21"/>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4015B0F8">
      <w:pPr>
        <w:pStyle w:val="23"/>
        <w:spacing w:before="156" w:after="156"/>
        <w:jc w:val="center"/>
        <w:outlineLvl w:val="1"/>
        <w:rPr>
          <w:color w:val="000000" w:themeColor="text1"/>
          <w14:textFill>
            <w14:solidFill>
              <w14:schemeClr w14:val="tx1"/>
            </w14:solidFill>
          </w14:textFill>
        </w:rPr>
      </w:pPr>
      <w:bookmarkStart w:id="274" w:name="_Toc207032586"/>
      <w:r>
        <w:rPr>
          <w:rFonts w:hint="eastAsia"/>
          <w:color w:val="000000" w:themeColor="text1"/>
          <w14:textFill>
            <w14:solidFill>
              <w14:schemeClr w14:val="tx1"/>
            </w14:solidFill>
          </w14:textFill>
        </w:rPr>
        <w:t>附录C</w:t>
      </w:r>
      <w:bookmarkEnd w:id="274"/>
      <w:r>
        <w:rPr>
          <w:color w:val="000000" w:themeColor="text1"/>
          <w14:textFill>
            <w14:solidFill>
              <w14:schemeClr w14:val="tx1"/>
            </w14:solidFill>
          </w14:textFill>
        </w:rPr>
        <w:t xml:space="preserve"> </w:t>
      </w:r>
    </w:p>
    <w:p w14:paraId="1B32FFA0">
      <w:pPr>
        <w:pStyle w:val="23"/>
        <w:spacing w:before="156" w:after="156"/>
        <w:jc w:val="center"/>
        <w:outlineLvl w:val="1"/>
        <w:rPr>
          <w:color w:val="000000" w:themeColor="text1"/>
          <w14:textFill>
            <w14:solidFill>
              <w14:schemeClr w14:val="tx1"/>
            </w14:solidFill>
          </w14:textFill>
        </w:rPr>
      </w:pPr>
      <w:bookmarkStart w:id="275" w:name="_Toc207032587"/>
      <w:r>
        <w:rPr>
          <w:rFonts w:hint="eastAsia"/>
          <w:color w:val="000000" w:themeColor="text1"/>
          <w14:textFill>
            <w14:solidFill>
              <w14:schemeClr w14:val="tx1"/>
            </w14:solidFill>
          </w14:textFill>
        </w:rPr>
        <w:t>（资料性）</w:t>
      </w:r>
      <w:bookmarkEnd w:id="275"/>
    </w:p>
    <w:p w14:paraId="0E855553">
      <w:pPr>
        <w:pStyle w:val="23"/>
        <w:spacing w:before="156" w:after="156"/>
        <w:jc w:val="center"/>
        <w:outlineLvl w:val="1"/>
        <w:rPr>
          <w:color w:val="000000" w:themeColor="text1"/>
          <w14:textFill>
            <w14:solidFill>
              <w14:schemeClr w14:val="tx1"/>
            </w14:solidFill>
          </w14:textFill>
        </w:rPr>
      </w:pPr>
      <w:bookmarkStart w:id="276" w:name="_Toc207032588"/>
      <w:r>
        <w:rPr>
          <w:rFonts w:hint="eastAsia"/>
          <w:color w:val="000000" w:themeColor="text1"/>
          <w14:textFill>
            <w14:solidFill>
              <w14:schemeClr w14:val="tx1"/>
            </w14:solidFill>
          </w14:textFill>
        </w:rPr>
        <w:t>安全应急预案模板</w:t>
      </w:r>
      <w:bookmarkEnd w:id="276"/>
    </w:p>
    <w:p w14:paraId="713C96E6">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277" w:name="_Toc920912215"/>
      <w:bookmarkStart w:id="278" w:name="_Toc207032589"/>
      <w:r>
        <w:rPr>
          <w:rFonts w:hint="eastAsia" w:ascii="黑体" w:hAnsi="黑体" w:eastAsia="黑体"/>
          <w:color w:val="000000" w:themeColor="text1"/>
          <w:szCs w:val="21"/>
          <w14:textFill>
            <w14:solidFill>
              <w14:schemeClr w14:val="tx1"/>
            </w14:solidFill>
          </w14:textFill>
        </w:rPr>
        <w:t>C.1适用范围</w:t>
      </w:r>
      <w:bookmarkEnd w:id="277"/>
      <w:bookmarkEnd w:id="278"/>
    </w:p>
    <w:p w14:paraId="3C75DB62">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本预案适用于水务行业信息系统安全应急事件的应对和处置，建立分级负责的安全应急事件处置体系，指导和规范安全应急事件的处置流程。</w:t>
      </w:r>
    </w:p>
    <w:p w14:paraId="106E12C0">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本预案所指安全应急事件是指由于人为原因、软硬件缺陷或故障、自然灾害等，对网络和信息系统或者其中的数据造成危害，对社会造成负面影响的事件。</w:t>
      </w:r>
    </w:p>
    <w:p w14:paraId="69D2028D">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279" w:name="_Toc207032590"/>
      <w:bookmarkStart w:id="280" w:name="_Toc856953576"/>
      <w:r>
        <w:rPr>
          <w:rFonts w:hint="eastAsia" w:ascii="黑体" w:hAnsi="黑体" w:eastAsia="黑体"/>
          <w:color w:val="000000" w:themeColor="text1"/>
          <w:szCs w:val="21"/>
          <w14:textFill>
            <w14:solidFill>
              <w14:schemeClr w14:val="tx1"/>
            </w14:solidFill>
          </w14:textFill>
        </w:rPr>
        <w:t>C.2安全应急事件分类分级</w:t>
      </w:r>
      <w:bookmarkEnd w:id="279"/>
      <w:bookmarkEnd w:id="280"/>
    </w:p>
    <w:p w14:paraId="38B8BAE8">
      <w:pPr>
        <w:pStyle w:val="23"/>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C.2.1安全应急事件分类</w:t>
      </w:r>
    </w:p>
    <w:p w14:paraId="21E72E66">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信息系统安全应急事件可分为故障、有害程序、信息数据安全三类。</w:t>
      </w:r>
    </w:p>
    <w:p w14:paraId="3CEBC9E9">
      <w:pPr>
        <w:pStyle w:val="12"/>
        <w:numPr>
          <w:ilvl w:val="0"/>
          <w:numId w:val="39"/>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故障类安全应急事件：主要包括单机故障、网络故障、系统故障、不间断电源故障等，表现形式包括网络连接中断、业务连接异常、备用电源连接异常等。</w:t>
      </w:r>
    </w:p>
    <w:p w14:paraId="3CADB4BB">
      <w:pPr>
        <w:pStyle w:val="12"/>
        <w:numPr>
          <w:ilvl w:val="0"/>
          <w:numId w:val="39"/>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害程序类安全应急事件：主要包括计算机病毒事件、蠕虫事件、特洛伊木马事件、僵尸网络事件、混合攻击程序事件、网页内嵌恶意代码事件等，主要表现形式为主机或服务器受病毒感染，出现异常程序干扰业务或恶意勒索等。</w:t>
      </w:r>
    </w:p>
    <w:p w14:paraId="6EFB2F8A">
      <w:pPr>
        <w:pStyle w:val="12"/>
        <w:numPr>
          <w:ilvl w:val="0"/>
          <w:numId w:val="39"/>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信息数据安全应急事件：主要包括信息篡改事件、信息泄露事件、信息破坏事件等，主要表现形式为发布数据被篡改且造成不良影响、互联网出现公司内部数据，或数据无法识别、存储介质损坏等。</w:t>
      </w:r>
    </w:p>
    <w:p w14:paraId="355BB785">
      <w:pPr>
        <w:pStyle w:val="23"/>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C.2.2安全应急事件分级</w:t>
      </w:r>
    </w:p>
    <w:p w14:paraId="1A9C42DC">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安全应急</w:t>
      </w:r>
      <w:r>
        <w:rPr>
          <w:color w:val="000000" w:themeColor="text1"/>
          <w:sz w:val="21"/>
          <w:szCs w:val="21"/>
          <w14:textFill>
            <w14:solidFill>
              <w14:schemeClr w14:val="tx1"/>
            </w14:solidFill>
          </w14:textFill>
        </w:rPr>
        <w:t>事件分为四级：特别重大</w:t>
      </w:r>
      <w:r>
        <w:rPr>
          <w:rFonts w:hint="eastAsia"/>
          <w:color w:val="000000" w:themeColor="text1"/>
          <w:sz w:val="21"/>
          <w:szCs w:val="21"/>
          <w14:textFill>
            <w14:solidFill>
              <w14:schemeClr w14:val="tx1"/>
            </w14:solidFill>
          </w14:textFill>
        </w:rPr>
        <w:t>安全应急</w:t>
      </w:r>
      <w:r>
        <w:rPr>
          <w:color w:val="000000" w:themeColor="text1"/>
          <w:sz w:val="21"/>
          <w:szCs w:val="21"/>
          <w14:textFill>
            <w14:solidFill>
              <w14:schemeClr w14:val="tx1"/>
            </w14:solidFill>
          </w14:textFill>
        </w:rPr>
        <w:t>事件</w:t>
      </w:r>
      <w:r>
        <w:rPr>
          <w:rFonts w:hint="eastAsia"/>
          <w:color w:val="000000" w:themeColor="text1"/>
          <w:sz w:val="21"/>
          <w:szCs w:val="21"/>
          <w14:textFill>
            <w14:solidFill>
              <w14:schemeClr w14:val="tx1"/>
            </w14:solidFill>
          </w14:textFill>
        </w:rPr>
        <w:t>（I级）</w:t>
      </w:r>
      <w:r>
        <w:rPr>
          <w:color w:val="000000" w:themeColor="text1"/>
          <w:sz w:val="21"/>
          <w:szCs w:val="21"/>
          <w14:textFill>
            <w14:solidFill>
              <w14:schemeClr w14:val="tx1"/>
            </w14:solidFill>
          </w14:textFill>
        </w:rPr>
        <w:t>、重大</w:t>
      </w:r>
      <w:r>
        <w:rPr>
          <w:rFonts w:hint="eastAsia"/>
          <w:color w:val="000000" w:themeColor="text1"/>
          <w:sz w:val="21"/>
          <w:szCs w:val="21"/>
          <w14:textFill>
            <w14:solidFill>
              <w14:schemeClr w14:val="tx1"/>
            </w14:solidFill>
          </w14:textFill>
        </w:rPr>
        <w:t>安全应急</w:t>
      </w:r>
      <w:r>
        <w:rPr>
          <w:color w:val="000000" w:themeColor="text1"/>
          <w:sz w:val="21"/>
          <w:szCs w:val="21"/>
          <w14:textFill>
            <w14:solidFill>
              <w14:schemeClr w14:val="tx1"/>
            </w14:solidFill>
          </w14:textFill>
        </w:rPr>
        <w:t>事件</w:t>
      </w:r>
      <w:r>
        <w:rPr>
          <w:rFonts w:hint="eastAsia"/>
          <w:color w:val="000000" w:themeColor="text1"/>
          <w:sz w:val="21"/>
          <w:szCs w:val="21"/>
          <w14:textFill>
            <w14:solidFill>
              <w14:schemeClr w14:val="tx1"/>
            </w14:solidFill>
          </w14:textFill>
        </w:rPr>
        <w:t>（Ⅱ级）</w:t>
      </w:r>
      <w:r>
        <w:rPr>
          <w:color w:val="000000" w:themeColor="text1"/>
          <w:sz w:val="21"/>
          <w:szCs w:val="21"/>
          <w14:textFill>
            <w14:solidFill>
              <w14:schemeClr w14:val="tx1"/>
            </w14:solidFill>
          </w14:textFill>
        </w:rPr>
        <w:t>、较大</w:t>
      </w:r>
      <w:r>
        <w:rPr>
          <w:rFonts w:hint="eastAsia"/>
          <w:color w:val="000000" w:themeColor="text1"/>
          <w:sz w:val="21"/>
          <w:szCs w:val="21"/>
          <w14:textFill>
            <w14:solidFill>
              <w14:schemeClr w14:val="tx1"/>
            </w14:solidFill>
          </w14:textFill>
        </w:rPr>
        <w:t>安全应急</w:t>
      </w:r>
      <w:r>
        <w:rPr>
          <w:color w:val="000000" w:themeColor="text1"/>
          <w:sz w:val="21"/>
          <w:szCs w:val="21"/>
          <w14:textFill>
            <w14:solidFill>
              <w14:schemeClr w14:val="tx1"/>
            </w14:solidFill>
          </w14:textFill>
        </w:rPr>
        <w:t>事件</w:t>
      </w:r>
      <w:r>
        <w:rPr>
          <w:rFonts w:hint="eastAsia"/>
          <w:color w:val="000000" w:themeColor="text1"/>
          <w:sz w:val="21"/>
          <w:szCs w:val="21"/>
          <w14:textFill>
            <w14:solidFill>
              <w14:schemeClr w14:val="tx1"/>
            </w14:solidFill>
          </w14:textFill>
        </w:rPr>
        <w:t>（Ⅲ级）</w:t>
      </w:r>
      <w:r>
        <w:rPr>
          <w:color w:val="000000" w:themeColor="text1"/>
          <w:sz w:val="21"/>
          <w:szCs w:val="21"/>
          <w14:textFill>
            <w14:solidFill>
              <w14:schemeClr w14:val="tx1"/>
            </w14:solidFill>
          </w14:textFill>
        </w:rPr>
        <w:t>、一般</w:t>
      </w:r>
      <w:r>
        <w:rPr>
          <w:rFonts w:hint="eastAsia"/>
          <w:color w:val="000000" w:themeColor="text1"/>
          <w:sz w:val="21"/>
          <w:szCs w:val="21"/>
          <w14:textFill>
            <w14:solidFill>
              <w14:schemeClr w14:val="tx1"/>
            </w14:solidFill>
          </w14:textFill>
        </w:rPr>
        <w:t>安全应急</w:t>
      </w:r>
      <w:r>
        <w:rPr>
          <w:color w:val="000000" w:themeColor="text1"/>
          <w:sz w:val="21"/>
          <w:szCs w:val="21"/>
          <w14:textFill>
            <w14:solidFill>
              <w14:schemeClr w14:val="tx1"/>
            </w14:solidFill>
          </w14:textFill>
        </w:rPr>
        <w:t>事件</w:t>
      </w:r>
      <w:r>
        <w:rPr>
          <w:rFonts w:hint="eastAsia"/>
          <w:color w:val="000000" w:themeColor="text1"/>
          <w:sz w:val="21"/>
          <w:szCs w:val="21"/>
          <w14:textFill>
            <w14:solidFill>
              <w14:schemeClr w14:val="tx1"/>
            </w14:solidFill>
          </w14:textFill>
        </w:rPr>
        <w:t>（Ⅳ级）</w:t>
      </w:r>
      <w:r>
        <w:rPr>
          <w:color w:val="000000" w:themeColor="text1"/>
          <w:sz w:val="21"/>
          <w:szCs w:val="21"/>
          <w14:textFill>
            <w14:solidFill>
              <w14:schemeClr w14:val="tx1"/>
            </w14:solidFill>
          </w14:textFill>
        </w:rPr>
        <w:t>。</w:t>
      </w:r>
    </w:p>
    <w:p w14:paraId="77BDA7B8">
      <w:pPr>
        <w:pStyle w:val="12"/>
        <w:numPr>
          <w:ilvl w:val="0"/>
          <w:numId w:val="40"/>
        </w:numPr>
        <w:spacing w:before="0" w:beforeAutospacing="0" w:after="0" w:afterAutospacing="0"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符合下列情形之一的，为特别重大</w:t>
      </w:r>
      <w:r>
        <w:rPr>
          <w:rFonts w:hint="eastAsia"/>
          <w:color w:val="000000" w:themeColor="text1"/>
          <w:sz w:val="21"/>
          <w:szCs w:val="21"/>
          <w14:textFill>
            <w14:solidFill>
              <w14:schemeClr w14:val="tx1"/>
            </w14:solidFill>
          </w14:textFill>
        </w:rPr>
        <w:t>安全应急事件（I级）</w:t>
      </w:r>
      <w:r>
        <w:rPr>
          <w:color w:val="000000" w:themeColor="text1"/>
          <w:sz w:val="21"/>
          <w:szCs w:val="21"/>
          <w14:textFill>
            <w14:solidFill>
              <w14:schemeClr w14:val="tx1"/>
            </w14:solidFill>
          </w14:textFill>
        </w:rPr>
        <w:t>：</w:t>
      </w:r>
    </w:p>
    <w:p w14:paraId="41D827B8">
      <w:pPr>
        <w:pStyle w:val="12"/>
        <w:numPr>
          <w:ilvl w:val="0"/>
          <w:numId w:val="41"/>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网络</w:t>
      </w:r>
      <w:r>
        <w:rPr>
          <w:color w:val="000000" w:themeColor="text1"/>
          <w:sz w:val="21"/>
          <w:szCs w:val="21"/>
          <w14:textFill>
            <w14:solidFill>
              <w14:schemeClr w14:val="tx1"/>
            </w14:solidFill>
          </w14:textFill>
        </w:rPr>
        <w:t>和</w:t>
      </w:r>
      <w:r>
        <w:rPr>
          <w:rFonts w:hint="eastAsia"/>
          <w:color w:val="000000" w:themeColor="text1"/>
          <w:sz w:val="21"/>
          <w:szCs w:val="21"/>
          <w14:textFill>
            <w14:solidFill>
              <w14:schemeClr w14:val="tx1"/>
            </w14:solidFill>
          </w14:textFill>
        </w:rPr>
        <w:t>重要信息</w:t>
      </w:r>
      <w:r>
        <w:rPr>
          <w:color w:val="000000" w:themeColor="text1"/>
          <w:sz w:val="21"/>
          <w:szCs w:val="21"/>
          <w14:textFill>
            <w14:solidFill>
              <w14:schemeClr w14:val="tx1"/>
            </w14:solidFill>
          </w14:textFill>
        </w:rPr>
        <w:t>系统遭受特别严重的系统损失，造成系统大面积瘫痪，丧失业务处理能力。</w:t>
      </w:r>
    </w:p>
    <w:p w14:paraId="1C788AA6">
      <w:pPr>
        <w:pStyle w:val="12"/>
        <w:numPr>
          <w:ilvl w:val="0"/>
          <w:numId w:val="41"/>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内部</w:t>
      </w:r>
      <w:r>
        <w:rPr>
          <w:color w:val="000000" w:themeColor="text1"/>
          <w:sz w:val="21"/>
          <w:szCs w:val="21"/>
          <w14:textFill>
            <w14:solidFill>
              <w14:schemeClr w14:val="tx1"/>
            </w14:solidFill>
          </w14:textFill>
        </w:rPr>
        <w:t>重要敏感信息和关键数据被窃取</w:t>
      </w:r>
      <w:r>
        <w:rPr>
          <w:rFonts w:hint="eastAsia"/>
          <w:color w:val="000000" w:themeColor="text1"/>
          <w:sz w:val="21"/>
          <w:szCs w:val="21"/>
          <w14:textFill>
            <w14:solidFill>
              <w14:schemeClr w14:val="tx1"/>
            </w14:solidFill>
          </w14:textFill>
        </w:rPr>
        <w:t>并在互联网上发布，</w:t>
      </w:r>
      <w:r>
        <w:rPr>
          <w:color w:val="000000" w:themeColor="text1"/>
          <w:sz w:val="21"/>
          <w:szCs w:val="21"/>
          <w14:textFill>
            <w14:solidFill>
              <w14:schemeClr w14:val="tx1"/>
            </w14:solidFill>
          </w14:textFill>
        </w:rPr>
        <w:t>对</w:t>
      </w:r>
      <w:r>
        <w:rPr>
          <w:rFonts w:hint="eastAsia"/>
          <w:color w:val="000000" w:themeColor="text1"/>
          <w:sz w:val="21"/>
          <w:szCs w:val="21"/>
          <w14:textFill>
            <w14:solidFill>
              <w14:schemeClr w14:val="tx1"/>
            </w14:solidFill>
          </w14:textFill>
        </w:rPr>
        <w:t>企业造成</w:t>
      </w:r>
      <w:r>
        <w:rPr>
          <w:color w:val="000000" w:themeColor="text1"/>
          <w:sz w:val="21"/>
          <w:szCs w:val="21"/>
          <w14:textFill>
            <w14:solidFill>
              <w14:schemeClr w14:val="tx1"/>
            </w14:solidFill>
          </w14:textFill>
        </w:rPr>
        <w:t>严重经济损失或产生严重不良社会影响。</w:t>
      </w:r>
    </w:p>
    <w:p w14:paraId="576BBCBF">
      <w:pPr>
        <w:pStyle w:val="12"/>
        <w:numPr>
          <w:ilvl w:val="0"/>
          <w:numId w:val="41"/>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对外发布渠道被入侵、信息被篡改为政治敏感信息，</w:t>
      </w:r>
      <w:r>
        <w:rPr>
          <w:color w:val="000000" w:themeColor="text1"/>
          <w:sz w:val="21"/>
          <w:szCs w:val="21"/>
          <w14:textFill>
            <w14:solidFill>
              <w14:schemeClr w14:val="tx1"/>
            </w14:solidFill>
          </w14:textFill>
        </w:rPr>
        <w:t>对</w:t>
      </w:r>
      <w:r>
        <w:rPr>
          <w:rFonts w:hint="eastAsia"/>
          <w:color w:val="000000" w:themeColor="text1"/>
          <w:sz w:val="21"/>
          <w:szCs w:val="21"/>
          <w14:textFill>
            <w14:solidFill>
              <w14:schemeClr w14:val="tx1"/>
            </w14:solidFill>
          </w14:textFill>
        </w:rPr>
        <w:t>企业造成</w:t>
      </w:r>
      <w:r>
        <w:rPr>
          <w:color w:val="000000" w:themeColor="text1"/>
          <w:sz w:val="21"/>
          <w:szCs w:val="21"/>
          <w14:textFill>
            <w14:solidFill>
              <w14:schemeClr w14:val="tx1"/>
            </w14:solidFill>
          </w14:textFill>
        </w:rPr>
        <w:t>严重经济损失或产生严重不良社会影响</w:t>
      </w:r>
      <w:r>
        <w:rPr>
          <w:rFonts w:hint="eastAsia"/>
          <w:color w:val="000000" w:themeColor="text1"/>
          <w:sz w:val="21"/>
          <w:szCs w:val="21"/>
          <w14:textFill>
            <w14:solidFill>
              <w14:schemeClr w14:val="tx1"/>
            </w14:solidFill>
          </w14:textFill>
        </w:rPr>
        <w:t>。</w:t>
      </w:r>
    </w:p>
    <w:p w14:paraId="5B34DF4D">
      <w:pPr>
        <w:pStyle w:val="12"/>
        <w:numPr>
          <w:ilvl w:val="0"/>
          <w:numId w:val="41"/>
        </w:numPr>
        <w:spacing w:before="0" w:beforeAutospacing="0" w:after="0" w:afterAutospacing="0"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其他对企业造成严重经济损失或产生严重不良社会影响的</w:t>
      </w:r>
      <w:r>
        <w:rPr>
          <w:rFonts w:hint="eastAsia"/>
          <w:color w:val="000000" w:themeColor="text1"/>
          <w:sz w:val="21"/>
          <w:szCs w:val="21"/>
          <w14:textFill>
            <w14:solidFill>
              <w14:schemeClr w14:val="tx1"/>
            </w14:solidFill>
          </w14:textFill>
        </w:rPr>
        <w:t>安全应急事件</w:t>
      </w:r>
      <w:r>
        <w:rPr>
          <w:color w:val="000000" w:themeColor="text1"/>
          <w:sz w:val="21"/>
          <w:szCs w:val="21"/>
          <w14:textFill>
            <w14:solidFill>
              <w14:schemeClr w14:val="tx1"/>
            </w14:solidFill>
          </w14:textFill>
        </w:rPr>
        <w:t>。</w:t>
      </w:r>
    </w:p>
    <w:p w14:paraId="166766BD">
      <w:pPr>
        <w:pStyle w:val="12"/>
        <w:numPr>
          <w:ilvl w:val="0"/>
          <w:numId w:val="40"/>
        </w:numPr>
        <w:spacing w:before="0" w:beforeAutospacing="0" w:after="0" w:afterAutospacing="0"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符合下列情形之一且未达到特别重大</w:t>
      </w:r>
      <w:r>
        <w:rPr>
          <w:rFonts w:hint="eastAsia"/>
          <w:color w:val="000000" w:themeColor="text1"/>
          <w:sz w:val="21"/>
          <w:szCs w:val="21"/>
          <w14:textFill>
            <w14:solidFill>
              <w14:schemeClr w14:val="tx1"/>
            </w14:solidFill>
          </w14:textFill>
        </w:rPr>
        <w:t>安全应急事件</w:t>
      </w:r>
      <w:r>
        <w:rPr>
          <w:color w:val="000000" w:themeColor="text1"/>
          <w:sz w:val="21"/>
          <w:szCs w:val="21"/>
          <w14:textFill>
            <w14:solidFill>
              <w14:schemeClr w14:val="tx1"/>
            </w14:solidFill>
          </w14:textFill>
        </w:rPr>
        <w:t>的，为重大</w:t>
      </w:r>
      <w:r>
        <w:rPr>
          <w:rFonts w:hint="eastAsia"/>
          <w:color w:val="000000" w:themeColor="text1"/>
          <w:sz w:val="21"/>
          <w:szCs w:val="21"/>
          <w14:textFill>
            <w14:solidFill>
              <w14:schemeClr w14:val="tx1"/>
            </w14:solidFill>
          </w14:textFill>
        </w:rPr>
        <w:t>安全应急事件（Ⅱ级）</w:t>
      </w:r>
      <w:r>
        <w:rPr>
          <w:color w:val="000000" w:themeColor="text1"/>
          <w:sz w:val="21"/>
          <w:szCs w:val="21"/>
          <w14:textFill>
            <w14:solidFill>
              <w14:schemeClr w14:val="tx1"/>
            </w14:solidFill>
          </w14:textFill>
        </w:rPr>
        <w:t>：</w:t>
      </w:r>
    </w:p>
    <w:p w14:paraId="17DD2B5E">
      <w:pPr>
        <w:pStyle w:val="12"/>
        <w:numPr>
          <w:ilvl w:val="0"/>
          <w:numId w:val="42"/>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网络</w:t>
      </w:r>
      <w:r>
        <w:rPr>
          <w:color w:val="000000" w:themeColor="text1"/>
          <w:sz w:val="21"/>
          <w:szCs w:val="21"/>
          <w14:textFill>
            <w14:solidFill>
              <w14:schemeClr w14:val="tx1"/>
            </w14:solidFill>
          </w14:textFill>
        </w:rPr>
        <w:t>和</w:t>
      </w:r>
      <w:r>
        <w:rPr>
          <w:rFonts w:hint="eastAsia"/>
          <w:color w:val="000000" w:themeColor="text1"/>
          <w:sz w:val="21"/>
          <w:szCs w:val="21"/>
          <w14:textFill>
            <w14:solidFill>
              <w14:schemeClr w14:val="tx1"/>
            </w14:solidFill>
          </w14:textFill>
        </w:rPr>
        <w:t>重要信息</w:t>
      </w:r>
      <w:r>
        <w:rPr>
          <w:color w:val="000000" w:themeColor="text1"/>
          <w:sz w:val="21"/>
          <w:szCs w:val="21"/>
          <w14:textFill>
            <w14:solidFill>
              <w14:schemeClr w14:val="tx1"/>
            </w14:solidFill>
          </w14:textFill>
        </w:rPr>
        <w:t>系统遭受严重的系统损失，造成系统长时间中断或局部瘫痪，业务处理能力受到极大影响。</w:t>
      </w:r>
    </w:p>
    <w:p w14:paraId="1AD56C4C">
      <w:pPr>
        <w:pStyle w:val="12"/>
        <w:numPr>
          <w:ilvl w:val="0"/>
          <w:numId w:val="42"/>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重要信息系统数据被篡改或损坏且无法恢复，</w:t>
      </w:r>
      <w:r>
        <w:rPr>
          <w:color w:val="000000" w:themeColor="text1"/>
          <w:sz w:val="21"/>
          <w:szCs w:val="21"/>
          <w14:textFill>
            <w14:solidFill>
              <w14:schemeClr w14:val="tx1"/>
            </w14:solidFill>
          </w14:textFill>
        </w:rPr>
        <w:t>对</w:t>
      </w:r>
      <w:r>
        <w:rPr>
          <w:rFonts w:hint="eastAsia"/>
          <w:color w:val="000000" w:themeColor="text1"/>
          <w:sz w:val="21"/>
          <w:szCs w:val="21"/>
          <w14:textFill>
            <w14:solidFill>
              <w14:schemeClr w14:val="tx1"/>
            </w14:solidFill>
          </w14:textFill>
        </w:rPr>
        <w:t>企业造成</w:t>
      </w:r>
      <w:r>
        <w:rPr>
          <w:color w:val="000000" w:themeColor="text1"/>
          <w:sz w:val="21"/>
          <w:szCs w:val="21"/>
          <w14:textFill>
            <w14:solidFill>
              <w14:schemeClr w14:val="tx1"/>
            </w14:solidFill>
          </w14:textFill>
        </w:rPr>
        <w:t>经济损失或产生不良社会影响。</w:t>
      </w:r>
    </w:p>
    <w:p w14:paraId="08A86D77">
      <w:pPr>
        <w:pStyle w:val="12"/>
        <w:numPr>
          <w:ilvl w:val="0"/>
          <w:numId w:val="42"/>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对外发布信息被篡改，</w:t>
      </w:r>
      <w:r>
        <w:rPr>
          <w:color w:val="000000" w:themeColor="text1"/>
          <w:sz w:val="21"/>
          <w:szCs w:val="21"/>
          <w14:textFill>
            <w14:solidFill>
              <w14:schemeClr w14:val="tx1"/>
            </w14:solidFill>
          </w14:textFill>
        </w:rPr>
        <w:t>对</w:t>
      </w:r>
      <w:r>
        <w:rPr>
          <w:rFonts w:hint="eastAsia"/>
          <w:color w:val="000000" w:themeColor="text1"/>
          <w:sz w:val="21"/>
          <w:szCs w:val="21"/>
          <w14:textFill>
            <w14:solidFill>
              <w14:schemeClr w14:val="tx1"/>
            </w14:solidFill>
          </w14:textFill>
        </w:rPr>
        <w:t>企业造成</w:t>
      </w:r>
      <w:r>
        <w:rPr>
          <w:color w:val="000000" w:themeColor="text1"/>
          <w:sz w:val="21"/>
          <w:szCs w:val="21"/>
          <w14:textFill>
            <w14:solidFill>
              <w14:schemeClr w14:val="tx1"/>
            </w14:solidFill>
          </w14:textFill>
        </w:rPr>
        <w:t>经济损失或产生不良社会影响</w:t>
      </w:r>
      <w:r>
        <w:rPr>
          <w:rFonts w:hint="eastAsia"/>
          <w:color w:val="000000" w:themeColor="text1"/>
          <w:sz w:val="21"/>
          <w:szCs w:val="21"/>
          <w14:textFill>
            <w14:solidFill>
              <w14:schemeClr w14:val="tx1"/>
            </w14:solidFill>
          </w14:textFill>
        </w:rPr>
        <w:t>。</w:t>
      </w:r>
    </w:p>
    <w:p w14:paraId="407C1724">
      <w:pPr>
        <w:pStyle w:val="12"/>
        <w:numPr>
          <w:ilvl w:val="0"/>
          <w:numId w:val="42"/>
        </w:numPr>
        <w:spacing w:before="0" w:beforeAutospacing="0" w:after="0" w:afterAutospacing="0"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其他对企业造成经济损失或产生不良社会影响的</w:t>
      </w:r>
      <w:r>
        <w:rPr>
          <w:rFonts w:hint="eastAsia"/>
          <w:color w:val="000000" w:themeColor="text1"/>
          <w:sz w:val="21"/>
          <w:szCs w:val="21"/>
          <w14:textFill>
            <w14:solidFill>
              <w14:schemeClr w14:val="tx1"/>
            </w14:solidFill>
          </w14:textFill>
        </w:rPr>
        <w:t>安全应急事件</w:t>
      </w:r>
      <w:r>
        <w:rPr>
          <w:color w:val="000000" w:themeColor="text1"/>
          <w:sz w:val="21"/>
          <w:szCs w:val="21"/>
          <w14:textFill>
            <w14:solidFill>
              <w14:schemeClr w14:val="tx1"/>
            </w14:solidFill>
          </w14:textFill>
        </w:rPr>
        <w:t>。</w:t>
      </w:r>
    </w:p>
    <w:p w14:paraId="7390A0A8">
      <w:pPr>
        <w:pStyle w:val="12"/>
        <w:numPr>
          <w:ilvl w:val="0"/>
          <w:numId w:val="40"/>
        </w:numPr>
        <w:spacing w:before="0" w:beforeAutospacing="0" w:after="0" w:afterAutospacing="0"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（3）符合下列情形之一且未达到重大</w:t>
      </w:r>
      <w:r>
        <w:rPr>
          <w:rFonts w:hint="eastAsia"/>
          <w:color w:val="000000" w:themeColor="text1"/>
          <w:sz w:val="21"/>
          <w:szCs w:val="21"/>
          <w14:textFill>
            <w14:solidFill>
              <w14:schemeClr w14:val="tx1"/>
            </w14:solidFill>
          </w14:textFill>
        </w:rPr>
        <w:t>安全应急事件</w:t>
      </w:r>
      <w:r>
        <w:rPr>
          <w:color w:val="000000" w:themeColor="text1"/>
          <w:sz w:val="21"/>
          <w:szCs w:val="21"/>
          <w14:textFill>
            <w14:solidFill>
              <w14:schemeClr w14:val="tx1"/>
            </w14:solidFill>
          </w14:textFill>
        </w:rPr>
        <w:t>的，为较大</w:t>
      </w:r>
      <w:r>
        <w:rPr>
          <w:rFonts w:hint="eastAsia"/>
          <w:color w:val="000000" w:themeColor="text1"/>
          <w:sz w:val="21"/>
          <w:szCs w:val="21"/>
          <w14:textFill>
            <w14:solidFill>
              <w14:schemeClr w14:val="tx1"/>
            </w14:solidFill>
          </w14:textFill>
        </w:rPr>
        <w:t>安全应急事件（Ⅲ级）</w:t>
      </w:r>
      <w:r>
        <w:rPr>
          <w:color w:val="000000" w:themeColor="text1"/>
          <w:sz w:val="21"/>
          <w:szCs w:val="21"/>
          <w14:textFill>
            <w14:solidFill>
              <w14:schemeClr w14:val="tx1"/>
            </w14:solidFill>
          </w14:textFill>
        </w:rPr>
        <w:t>：</w:t>
      </w:r>
    </w:p>
    <w:p w14:paraId="0E705268">
      <w:pPr>
        <w:pStyle w:val="12"/>
        <w:numPr>
          <w:ilvl w:val="0"/>
          <w:numId w:val="43"/>
        </w:numPr>
        <w:spacing w:before="0" w:beforeAutospacing="0" w:after="0" w:afterAutospacing="0"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网络和</w:t>
      </w:r>
      <w:r>
        <w:rPr>
          <w:rFonts w:hint="eastAsia"/>
          <w:color w:val="000000" w:themeColor="text1"/>
          <w:sz w:val="21"/>
          <w:szCs w:val="21"/>
          <w14:textFill>
            <w14:solidFill>
              <w14:schemeClr w14:val="tx1"/>
            </w14:solidFill>
          </w14:textFill>
        </w:rPr>
        <w:t>重要</w:t>
      </w:r>
      <w:r>
        <w:rPr>
          <w:color w:val="000000" w:themeColor="text1"/>
          <w:sz w:val="21"/>
          <w:szCs w:val="21"/>
          <w14:textFill>
            <w14:solidFill>
              <w14:schemeClr w14:val="tx1"/>
            </w14:solidFill>
          </w14:textFill>
        </w:rPr>
        <w:t>信息系统遭受较大的系统损失，造成系统中断，明显影响系统效率，业务处理能力受到影响。</w:t>
      </w:r>
    </w:p>
    <w:p w14:paraId="06161F8D">
      <w:pPr>
        <w:pStyle w:val="12"/>
        <w:numPr>
          <w:ilvl w:val="0"/>
          <w:numId w:val="43"/>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重要信息系统数据被篡改或损坏且只能部分恢复，</w:t>
      </w:r>
      <w:r>
        <w:rPr>
          <w:color w:val="000000" w:themeColor="text1"/>
          <w:sz w:val="21"/>
          <w:szCs w:val="21"/>
          <w14:textFill>
            <w14:solidFill>
              <w14:schemeClr w14:val="tx1"/>
            </w14:solidFill>
          </w14:textFill>
        </w:rPr>
        <w:t>对</w:t>
      </w:r>
      <w:r>
        <w:rPr>
          <w:rFonts w:hint="eastAsia"/>
          <w:color w:val="000000" w:themeColor="text1"/>
          <w:sz w:val="21"/>
          <w:szCs w:val="21"/>
          <w14:textFill>
            <w14:solidFill>
              <w14:schemeClr w14:val="tx1"/>
            </w14:solidFill>
          </w14:textFill>
        </w:rPr>
        <w:t>企业造成一定</w:t>
      </w:r>
      <w:r>
        <w:rPr>
          <w:color w:val="000000" w:themeColor="text1"/>
          <w:sz w:val="21"/>
          <w:szCs w:val="21"/>
          <w14:textFill>
            <w14:solidFill>
              <w14:schemeClr w14:val="tx1"/>
            </w14:solidFill>
          </w14:textFill>
        </w:rPr>
        <w:t>经济损失或产生</w:t>
      </w:r>
      <w:r>
        <w:rPr>
          <w:rFonts w:hint="eastAsia"/>
          <w:color w:val="000000" w:themeColor="text1"/>
          <w:sz w:val="21"/>
          <w:szCs w:val="21"/>
          <w14:textFill>
            <w14:solidFill>
              <w14:schemeClr w14:val="tx1"/>
            </w14:solidFill>
          </w14:textFill>
        </w:rPr>
        <w:t>一定</w:t>
      </w:r>
      <w:r>
        <w:rPr>
          <w:color w:val="000000" w:themeColor="text1"/>
          <w:sz w:val="21"/>
          <w:szCs w:val="21"/>
          <w14:textFill>
            <w14:solidFill>
              <w14:schemeClr w14:val="tx1"/>
            </w14:solidFill>
          </w14:textFill>
        </w:rPr>
        <w:t>不良社会影响。</w:t>
      </w:r>
    </w:p>
    <w:p w14:paraId="19C50771">
      <w:pPr>
        <w:pStyle w:val="12"/>
        <w:numPr>
          <w:ilvl w:val="0"/>
          <w:numId w:val="43"/>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生产调度中心或呼叫热线中心由于电力故障等突发因素无法正常运转，</w:t>
      </w:r>
      <w:r>
        <w:rPr>
          <w:color w:val="000000" w:themeColor="text1"/>
          <w:sz w:val="21"/>
          <w:szCs w:val="21"/>
          <w14:textFill>
            <w14:solidFill>
              <w14:schemeClr w14:val="tx1"/>
            </w14:solidFill>
          </w14:textFill>
        </w:rPr>
        <w:t>对</w:t>
      </w:r>
      <w:r>
        <w:rPr>
          <w:rFonts w:hint="eastAsia"/>
          <w:color w:val="000000" w:themeColor="text1"/>
          <w:sz w:val="21"/>
          <w:szCs w:val="21"/>
          <w14:textFill>
            <w14:solidFill>
              <w14:schemeClr w14:val="tx1"/>
            </w14:solidFill>
          </w14:textFill>
        </w:rPr>
        <w:t>企业造成一定</w:t>
      </w:r>
      <w:r>
        <w:rPr>
          <w:color w:val="000000" w:themeColor="text1"/>
          <w:sz w:val="21"/>
          <w:szCs w:val="21"/>
          <w14:textFill>
            <w14:solidFill>
              <w14:schemeClr w14:val="tx1"/>
            </w14:solidFill>
          </w14:textFill>
        </w:rPr>
        <w:t>经济损失或产生</w:t>
      </w:r>
      <w:r>
        <w:rPr>
          <w:rFonts w:hint="eastAsia"/>
          <w:color w:val="000000" w:themeColor="text1"/>
          <w:sz w:val="21"/>
          <w:szCs w:val="21"/>
          <w14:textFill>
            <w14:solidFill>
              <w14:schemeClr w14:val="tx1"/>
            </w14:solidFill>
          </w14:textFill>
        </w:rPr>
        <w:t>一定</w:t>
      </w:r>
      <w:r>
        <w:rPr>
          <w:color w:val="000000" w:themeColor="text1"/>
          <w:sz w:val="21"/>
          <w:szCs w:val="21"/>
          <w14:textFill>
            <w14:solidFill>
              <w14:schemeClr w14:val="tx1"/>
            </w14:solidFill>
          </w14:textFill>
        </w:rPr>
        <w:t>不良社会影响。</w:t>
      </w:r>
    </w:p>
    <w:p w14:paraId="36BB3BC4">
      <w:pPr>
        <w:pStyle w:val="12"/>
        <w:numPr>
          <w:ilvl w:val="0"/>
          <w:numId w:val="43"/>
        </w:numPr>
        <w:spacing w:before="0" w:beforeAutospacing="0" w:after="0" w:afterAutospacing="0"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其他对企业造成</w:t>
      </w:r>
      <w:r>
        <w:rPr>
          <w:rFonts w:hint="eastAsia"/>
          <w:color w:val="000000" w:themeColor="text1"/>
          <w:sz w:val="21"/>
          <w:szCs w:val="21"/>
          <w14:textFill>
            <w14:solidFill>
              <w14:schemeClr w14:val="tx1"/>
            </w14:solidFill>
          </w14:textFill>
        </w:rPr>
        <w:t>一定</w:t>
      </w:r>
      <w:r>
        <w:rPr>
          <w:color w:val="000000" w:themeColor="text1"/>
          <w:sz w:val="21"/>
          <w:szCs w:val="21"/>
          <w14:textFill>
            <w14:solidFill>
              <w14:schemeClr w14:val="tx1"/>
            </w14:solidFill>
          </w14:textFill>
        </w:rPr>
        <w:t>经济损失或产生</w:t>
      </w:r>
      <w:r>
        <w:rPr>
          <w:rFonts w:hint="eastAsia"/>
          <w:color w:val="000000" w:themeColor="text1"/>
          <w:sz w:val="21"/>
          <w:szCs w:val="21"/>
          <w14:textFill>
            <w14:solidFill>
              <w14:schemeClr w14:val="tx1"/>
            </w14:solidFill>
          </w14:textFill>
        </w:rPr>
        <w:t>一定</w:t>
      </w:r>
      <w:r>
        <w:rPr>
          <w:color w:val="000000" w:themeColor="text1"/>
          <w:sz w:val="21"/>
          <w:szCs w:val="21"/>
          <w14:textFill>
            <w14:solidFill>
              <w14:schemeClr w14:val="tx1"/>
            </w14:solidFill>
          </w14:textFill>
        </w:rPr>
        <w:t>不良社会影响的</w:t>
      </w:r>
      <w:r>
        <w:rPr>
          <w:rFonts w:hint="eastAsia"/>
          <w:color w:val="000000" w:themeColor="text1"/>
          <w:sz w:val="21"/>
          <w:szCs w:val="21"/>
          <w14:textFill>
            <w14:solidFill>
              <w14:schemeClr w14:val="tx1"/>
            </w14:solidFill>
          </w14:textFill>
        </w:rPr>
        <w:t>安全应急事件。</w:t>
      </w:r>
    </w:p>
    <w:p w14:paraId="47F08D25">
      <w:pPr>
        <w:pStyle w:val="12"/>
        <w:numPr>
          <w:ilvl w:val="0"/>
          <w:numId w:val="40"/>
        </w:numPr>
        <w:spacing w:before="0" w:beforeAutospacing="0" w:after="0" w:afterAutospacing="0"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除上述情形外</w:t>
      </w:r>
      <w:r>
        <w:rPr>
          <w:rFonts w:hint="eastAsia"/>
          <w:color w:val="000000" w:themeColor="text1"/>
          <w:sz w:val="21"/>
          <w:szCs w:val="21"/>
          <w14:textFill>
            <w14:solidFill>
              <w14:schemeClr w14:val="tx1"/>
            </w14:solidFill>
          </w14:textFill>
        </w:rPr>
        <w:t>，网络和重要信息系统由于突发事件造成小范围中断、故障，对部分使用人员造成一定影响，影响部分业务开展的，为</w:t>
      </w:r>
      <w:r>
        <w:rPr>
          <w:color w:val="000000" w:themeColor="text1"/>
          <w:sz w:val="21"/>
          <w:szCs w:val="21"/>
          <w14:textFill>
            <w14:solidFill>
              <w14:schemeClr w14:val="tx1"/>
            </w14:solidFill>
          </w14:textFill>
        </w:rPr>
        <w:t>一般</w:t>
      </w:r>
      <w:r>
        <w:rPr>
          <w:rFonts w:hint="eastAsia"/>
          <w:color w:val="000000" w:themeColor="text1"/>
          <w:sz w:val="21"/>
          <w:szCs w:val="21"/>
          <w14:textFill>
            <w14:solidFill>
              <w14:schemeClr w14:val="tx1"/>
            </w14:solidFill>
          </w14:textFill>
        </w:rPr>
        <w:t>安全应急</w:t>
      </w:r>
      <w:r>
        <w:rPr>
          <w:color w:val="000000" w:themeColor="text1"/>
          <w:sz w:val="21"/>
          <w:szCs w:val="21"/>
          <w14:textFill>
            <w14:solidFill>
              <w14:schemeClr w14:val="tx1"/>
            </w14:solidFill>
          </w14:textFill>
        </w:rPr>
        <w:t>事件</w:t>
      </w:r>
      <w:r>
        <w:rPr>
          <w:rFonts w:hint="eastAsia"/>
          <w:color w:val="000000" w:themeColor="text1"/>
          <w:sz w:val="21"/>
          <w:szCs w:val="21"/>
          <w14:textFill>
            <w14:solidFill>
              <w14:schemeClr w14:val="tx1"/>
            </w14:solidFill>
          </w14:textFill>
        </w:rPr>
        <w:t>（Ⅳ级）</w:t>
      </w:r>
      <w:r>
        <w:rPr>
          <w:color w:val="000000" w:themeColor="text1"/>
          <w:sz w:val="21"/>
          <w:szCs w:val="21"/>
          <w14:textFill>
            <w14:solidFill>
              <w14:schemeClr w14:val="tx1"/>
            </w14:solidFill>
          </w14:textFill>
        </w:rPr>
        <w:t>。</w:t>
      </w:r>
    </w:p>
    <w:p w14:paraId="72638E18">
      <w:pPr>
        <w:pStyle w:val="12"/>
        <w:numPr>
          <w:ilvl w:val="0"/>
          <w:numId w:val="40"/>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重要信息系统包括：生产运营类支撑系统（如供排水管网GIS系统、调度系统、模型系统、巡检工单系统等）、营销服务类支撑系统（如营业收费系统、呼叫热线系统、网上营业厅、微信公众号）等、管理管控类支撑系统（如OA、财务管理系统、工程管理系统等）。</w:t>
      </w:r>
    </w:p>
    <w:p w14:paraId="704F1DC3">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281" w:name="_Toc207032591"/>
      <w:bookmarkStart w:id="282" w:name="_Toc1793415050"/>
      <w:r>
        <w:rPr>
          <w:rFonts w:hint="eastAsia" w:ascii="黑体" w:hAnsi="黑体" w:eastAsia="黑体"/>
          <w:color w:val="000000" w:themeColor="text1"/>
          <w:szCs w:val="21"/>
          <w14:textFill>
            <w14:solidFill>
              <w14:schemeClr w14:val="tx1"/>
            </w14:solidFill>
          </w14:textFill>
        </w:rPr>
        <w:t>C.3组织机构与职责</w:t>
      </w:r>
      <w:bookmarkEnd w:id="281"/>
      <w:bookmarkEnd w:id="282"/>
    </w:p>
    <w:p w14:paraId="2635A32C">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水务企业应建立安全应急事件领导小组（以下简称：应急领导小组），作为安全应急事件的管理决策机构，在信息系统应急工作中的主要职责包括：</w:t>
      </w:r>
    </w:p>
    <w:p w14:paraId="72C1A706">
      <w:pPr>
        <w:pStyle w:val="12"/>
        <w:numPr>
          <w:ilvl w:val="0"/>
          <w:numId w:val="44"/>
        </w:numPr>
        <w:spacing w:before="0" w:beforeAutospacing="0" w:after="0" w:afterAutospacing="0"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贯彻落实</w:t>
      </w:r>
      <w:r>
        <w:rPr>
          <w:rFonts w:hint="eastAsia"/>
          <w:color w:val="000000" w:themeColor="text1"/>
          <w:sz w:val="21"/>
          <w:szCs w:val="21"/>
          <w14:textFill>
            <w14:solidFill>
              <w14:schemeClr w14:val="tx1"/>
            </w14:solidFill>
          </w14:textFill>
        </w:rPr>
        <w:t>与宣贯</w:t>
      </w:r>
      <w:r>
        <w:rPr>
          <w:color w:val="000000" w:themeColor="text1"/>
          <w:sz w:val="21"/>
          <w:szCs w:val="21"/>
          <w14:textFill>
            <w14:solidFill>
              <w14:schemeClr w14:val="tx1"/>
            </w14:solidFill>
          </w14:textFill>
        </w:rPr>
        <w:t>国家、</w:t>
      </w:r>
      <w:r>
        <w:rPr>
          <w:rFonts w:hint="eastAsia"/>
          <w:color w:val="000000" w:themeColor="text1"/>
          <w:sz w:val="21"/>
          <w:szCs w:val="21"/>
          <w14:textFill>
            <w14:solidFill>
              <w14:schemeClr w14:val="tx1"/>
            </w14:solidFill>
          </w14:textFill>
        </w:rPr>
        <w:t>省、市、</w:t>
      </w:r>
      <w:r>
        <w:rPr>
          <w:color w:val="000000" w:themeColor="text1"/>
          <w:sz w:val="21"/>
          <w:szCs w:val="21"/>
          <w14:textFill>
            <w14:solidFill>
              <w14:schemeClr w14:val="tx1"/>
            </w14:solidFill>
          </w14:textFill>
        </w:rPr>
        <w:t>行业有关网络信息系统突发事件应急</w:t>
      </w:r>
      <w:r>
        <w:rPr>
          <w:rFonts w:hint="eastAsia"/>
          <w:color w:val="000000" w:themeColor="text1"/>
          <w:sz w:val="21"/>
          <w:szCs w:val="21"/>
          <w14:textFill>
            <w14:solidFill>
              <w14:schemeClr w14:val="tx1"/>
            </w14:solidFill>
          </w14:textFill>
        </w:rPr>
        <w:t>处置</w:t>
      </w:r>
      <w:r>
        <w:rPr>
          <w:color w:val="000000" w:themeColor="text1"/>
          <w:sz w:val="21"/>
          <w:szCs w:val="21"/>
          <w14:textFill>
            <w14:solidFill>
              <w14:schemeClr w14:val="tx1"/>
            </w14:solidFill>
          </w14:textFill>
        </w:rPr>
        <w:t>的法规、规定；</w:t>
      </w:r>
    </w:p>
    <w:p w14:paraId="0A317B6E">
      <w:pPr>
        <w:pStyle w:val="12"/>
        <w:numPr>
          <w:ilvl w:val="0"/>
          <w:numId w:val="44"/>
        </w:numPr>
        <w:spacing w:before="0" w:beforeAutospacing="0" w:after="0" w:afterAutospacing="0"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研究</w:t>
      </w:r>
      <w:r>
        <w:rPr>
          <w:rFonts w:hint="eastAsia"/>
          <w:color w:val="000000" w:themeColor="text1"/>
          <w:sz w:val="21"/>
          <w:szCs w:val="21"/>
          <w14:textFill>
            <w14:solidFill>
              <w14:schemeClr w14:val="tx1"/>
            </w14:solidFill>
          </w14:textFill>
        </w:rPr>
        <w:t>和</w:t>
      </w:r>
      <w:r>
        <w:rPr>
          <w:color w:val="000000" w:themeColor="text1"/>
          <w:sz w:val="21"/>
          <w:szCs w:val="21"/>
          <w14:textFill>
            <w14:solidFill>
              <w14:schemeClr w14:val="tx1"/>
            </w14:solidFill>
          </w14:textFill>
        </w:rPr>
        <w:t>部署信息系统重大</w:t>
      </w:r>
      <w:r>
        <w:rPr>
          <w:rFonts w:hint="eastAsia"/>
          <w:color w:val="000000" w:themeColor="text1"/>
          <w:sz w:val="21"/>
          <w:szCs w:val="21"/>
          <w14:textFill>
            <w14:solidFill>
              <w14:schemeClr w14:val="tx1"/>
            </w14:solidFill>
          </w14:textFill>
        </w:rPr>
        <w:t>安全</w:t>
      </w:r>
      <w:r>
        <w:rPr>
          <w:color w:val="000000" w:themeColor="text1"/>
          <w:sz w:val="21"/>
          <w:szCs w:val="21"/>
          <w14:textFill>
            <w14:solidFill>
              <w14:schemeClr w14:val="tx1"/>
            </w14:solidFill>
          </w14:textFill>
        </w:rPr>
        <w:t>应急决策；</w:t>
      </w:r>
    </w:p>
    <w:p w14:paraId="2758F451">
      <w:pPr>
        <w:pStyle w:val="12"/>
        <w:numPr>
          <w:ilvl w:val="0"/>
          <w:numId w:val="44"/>
        </w:numPr>
        <w:spacing w:before="0" w:beforeAutospacing="0" w:after="0" w:afterAutospacing="0" w:line="24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宣布进入和解除应急状态，决定实施和终止信息系统安全应急预案</w:t>
      </w:r>
      <w:r>
        <w:rPr>
          <w:rFonts w:hint="eastAsia"/>
          <w:color w:val="000000" w:themeColor="text1"/>
          <w:sz w:val="21"/>
          <w:szCs w:val="21"/>
          <w14:textFill>
            <w14:solidFill>
              <w14:schemeClr w14:val="tx1"/>
            </w14:solidFill>
          </w14:textFill>
        </w:rPr>
        <w:t>；</w:t>
      </w:r>
    </w:p>
    <w:p w14:paraId="1AA19A99">
      <w:pPr>
        <w:pStyle w:val="12"/>
        <w:numPr>
          <w:ilvl w:val="0"/>
          <w:numId w:val="44"/>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统一领导、指挥协调企业安全应急工作。</w:t>
      </w:r>
    </w:p>
    <w:p w14:paraId="44B4AAE3">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应急领导小组宜下设安全应急事件工作小组（以下简称：应急工作小组），作为安全应急事件的具体执行机构，在信息系统应急工作中的主要职责包括：</w:t>
      </w:r>
    </w:p>
    <w:p w14:paraId="620C8EFE">
      <w:pPr>
        <w:pStyle w:val="12"/>
        <w:numPr>
          <w:ilvl w:val="0"/>
          <w:numId w:val="45"/>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监督执行应急指挥部下达的应急指令、重大应急决策和部署，协调各方应急资源，组织应急处置；</w:t>
      </w:r>
    </w:p>
    <w:p w14:paraId="16D69FE3">
      <w:pPr>
        <w:pStyle w:val="12"/>
        <w:numPr>
          <w:ilvl w:val="0"/>
          <w:numId w:val="45"/>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组织制定网络信息系统应急工作相关制度、标准、规范和预案，定期组织评估、修订和复核，并监督、检查贯彻执行情况；</w:t>
      </w:r>
    </w:p>
    <w:p w14:paraId="42C0735F">
      <w:pPr>
        <w:pStyle w:val="12"/>
        <w:numPr>
          <w:ilvl w:val="0"/>
          <w:numId w:val="45"/>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及时了解和掌握网络信息系统突发事件与应急处置工作情况，向应急指挥部报告应急处置过程中发现的重大问题，并按照“谁主管、谁负责，谁运营、谁负责”的要推进应急处置工作；</w:t>
      </w:r>
    </w:p>
    <w:p w14:paraId="6C16EE48">
      <w:pPr>
        <w:pStyle w:val="12"/>
        <w:numPr>
          <w:ilvl w:val="0"/>
          <w:numId w:val="45"/>
        </w:numPr>
        <w:spacing w:before="0" w:beforeAutospacing="0" w:after="0" w:afterAutospacing="0"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组织参与网络信息系统事件调查、总结应急处理经验和教训等后期处置工作。</w:t>
      </w:r>
    </w:p>
    <w:p w14:paraId="46C03A24">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283" w:name="_Toc1993759705"/>
      <w:bookmarkStart w:id="284" w:name="_Toc207032592"/>
      <w:r>
        <w:rPr>
          <w:rFonts w:hint="eastAsia" w:ascii="黑体" w:hAnsi="黑体" w:eastAsia="黑体"/>
          <w:color w:val="000000" w:themeColor="text1"/>
          <w:szCs w:val="21"/>
          <w14:textFill>
            <w14:solidFill>
              <w14:schemeClr w14:val="tx1"/>
            </w14:solidFill>
          </w14:textFill>
        </w:rPr>
        <w:t>C.4应急响应流程</w:t>
      </w:r>
      <w:bookmarkEnd w:id="283"/>
      <w:bookmarkEnd w:id="284"/>
    </w:p>
    <w:p w14:paraId="578345D4">
      <w:pPr>
        <w:pStyle w:val="23"/>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C.4.1响应流程图</w:t>
      </w:r>
    </w:p>
    <w:p w14:paraId="621AAC2E">
      <w:pPr>
        <w:jc w:val="center"/>
        <w:rPr>
          <w:color w:val="000000" w:themeColor="text1"/>
          <w:sz w:val="24"/>
          <w14:textFill>
            <w14:solidFill>
              <w14:schemeClr w14:val="tx1"/>
            </w14:solidFill>
          </w14:textFill>
        </w:rPr>
      </w:pPr>
      <w:r>
        <w:rPr>
          <w:color w:val="000000" w:themeColor="text1"/>
          <w14:textFill>
            <w14:solidFill>
              <w14:schemeClr w14:val="tx1"/>
            </w14:solidFill>
          </w14:textFill>
        </w:rPr>
        <w:drawing>
          <wp:inline distT="0" distB="0" distL="114300" distR="114300">
            <wp:extent cx="4910455" cy="6567805"/>
            <wp:effectExtent l="0" t="0" r="444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4910455" cy="6567805"/>
                    </a:xfrm>
                    <a:prstGeom prst="rect">
                      <a:avLst/>
                    </a:prstGeom>
                    <a:noFill/>
                    <a:ln>
                      <a:noFill/>
                    </a:ln>
                  </pic:spPr>
                </pic:pic>
              </a:graphicData>
            </a:graphic>
          </wp:inline>
        </w:drawing>
      </w:r>
    </w:p>
    <w:p w14:paraId="344C5C92">
      <w:pPr>
        <w:pStyle w:val="3"/>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图C.1 流程图</w:t>
      </w:r>
    </w:p>
    <w:p w14:paraId="70880A2E">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到潜在安全应急事件发生后，各归口部门应尽快启动安全应急预案，及时向应急工作小组报送信息。应急工作小组根据监测信息进行分析研判，IV级安全应急事件宜由信息化归口部门负责发布，III-II级安全应急事件宜由应急工作小组负责发布，I级安全应急事件宜由应急领导小组负责发布。处置过程中，视事件发展情况、危害程度、事件分级条件等综合因素研究决定是否调整事件响应。</w:t>
      </w:r>
    </w:p>
    <w:p w14:paraId="2DFB68F2">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业务自检或可靠人员反映已发布错误应急信息时，宜由应急领导小组负责启动特殊应急状态响应，全体在岗员工应按照流程有序组织错误应急信息下线工作，并消除影响。</w:t>
      </w:r>
    </w:p>
    <w:p w14:paraId="20F5C47D">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p>
    <w:p w14:paraId="0F7FA836">
      <w:pPr>
        <w:pStyle w:val="23"/>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C.4.2各级别响应行动</w:t>
      </w:r>
    </w:p>
    <w:p w14:paraId="2F64C6F5">
      <w:pPr>
        <w:pStyle w:val="23"/>
        <w:spacing w:before="156" w:after="156"/>
        <w:outlineLvl w:val="4"/>
        <w:rPr>
          <w:color w:val="000000" w:themeColor="text1"/>
          <w14:textFill>
            <w14:solidFill>
              <w14:schemeClr w14:val="tx1"/>
            </w14:solidFill>
          </w14:textFill>
        </w:rPr>
      </w:pPr>
      <w:r>
        <w:rPr>
          <w:rFonts w:hint="eastAsia"/>
          <w:color w:val="000000" w:themeColor="text1"/>
          <w14:textFill>
            <w14:solidFill>
              <w14:schemeClr w14:val="tx1"/>
            </w14:solidFill>
          </w14:textFill>
        </w:rPr>
        <w:t>C.4.2.1 IV级应急行动</w:t>
      </w:r>
    </w:p>
    <w:p w14:paraId="48316657">
      <w:pPr>
        <w:pStyle w:val="26"/>
        <w:numPr>
          <w:ilvl w:val="0"/>
          <w:numId w:val="4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业务归口部门在应急响应启动后的2小时内向应急工作小组汇报工作内容和计划。</w:t>
      </w:r>
    </w:p>
    <w:p w14:paraId="2A30006F">
      <w:pPr>
        <w:pStyle w:val="26"/>
        <w:numPr>
          <w:ilvl w:val="0"/>
          <w:numId w:val="4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技术保障部门及时处理事件问题，分析事件原因，并在24小内排查完毕，排除故障。</w:t>
      </w:r>
    </w:p>
    <w:p w14:paraId="0E8D5A39">
      <w:pPr>
        <w:pStyle w:val="26"/>
        <w:numPr>
          <w:ilvl w:val="0"/>
          <w:numId w:val="4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业务归口部门同步发布应急响应信息，并做好信息报送工作及修复期间的业务配合工作。</w:t>
      </w:r>
    </w:p>
    <w:p w14:paraId="5FCB0383">
      <w:pPr>
        <w:pStyle w:val="26"/>
        <w:numPr>
          <w:ilvl w:val="0"/>
          <w:numId w:val="4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业务归口部门及技术保障部门做好复盘，并更新《应急问题QA表》。</w:t>
      </w:r>
    </w:p>
    <w:p w14:paraId="0A52AB62">
      <w:pPr>
        <w:pStyle w:val="26"/>
        <w:numPr>
          <w:ilvl w:val="0"/>
          <w:numId w:val="4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技术保障部门加强系统维护力度,加大系统设备巡检和监控力度,及时排除设备和安全隐患,保障业务网络安全运行。</w:t>
      </w:r>
    </w:p>
    <w:p w14:paraId="20858C92">
      <w:pPr>
        <w:pStyle w:val="23"/>
        <w:spacing w:before="156" w:after="156"/>
        <w:outlineLvl w:val="4"/>
        <w:rPr>
          <w:color w:val="000000" w:themeColor="text1"/>
          <w14:textFill>
            <w14:solidFill>
              <w14:schemeClr w14:val="tx1"/>
            </w14:solidFill>
          </w14:textFill>
        </w:rPr>
      </w:pPr>
      <w:r>
        <w:rPr>
          <w:rFonts w:hint="eastAsia"/>
          <w:color w:val="000000" w:themeColor="text1"/>
          <w14:textFill>
            <w14:solidFill>
              <w14:schemeClr w14:val="tx1"/>
            </w14:solidFill>
          </w14:textFill>
        </w:rPr>
        <w:t>C.4.2.2 III级应急行动</w:t>
      </w:r>
    </w:p>
    <w:p w14:paraId="3E6E78D5">
      <w:pPr>
        <w:pStyle w:val="26"/>
        <w:numPr>
          <w:ilvl w:val="0"/>
          <w:numId w:val="4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应急工作小组全天排班，相关人员取消休假，随时待命，手机24小时保持联络畅通。</w:t>
      </w:r>
    </w:p>
    <w:p w14:paraId="2F1E5B45">
      <w:pPr>
        <w:pStyle w:val="26"/>
        <w:numPr>
          <w:ilvl w:val="0"/>
          <w:numId w:val="4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应急工作小组随时收集、整理、发布应急响应活动的信息并每日向应急领导小组报告，直至应急事件结束。</w:t>
      </w:r>
    </w:p>
    <w:p w14:paraId="3AA04261">
      <w:pPr>
        <w:pStyle w:val="26"/>
        <w:numPr>
          <w:ilvl w:val="0"/>
          <w:numId w:val="4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相关责任部门、人员及时处理紧急情况，加强值守，排除隐患。</w:t>
      </w:r>
    </w:p>
    <w:p w14:paraId="311F54B0">
      <w:pPr>
        <w:pStyle w:val="26"/>
        <w:numPr>
          <w:ilvl w:val="0"/>
          <w:numId w:val="4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各业务部门在应急响应结束后24小时内向应急工作小组提交应急工作总结。</w:t>
      </w:r>
    </w:p>
    <w:p w14:paraId="1A00A86D">
      <w:pPr>
        <w:pStyle w:val="26"/>
        <w:numPr>
          <w:ilvl w:val="0"/>
          <w:numId w:val="4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应急工作小组向应急领导小组提交应急事件报告。</w:t>
      </w:r>
    </w:p>
    <w:p w14:paraId="264A11D3">
      <w:pPr>
        <w:pStyle w:val="23"/>
        <w:spacing w:before="156" w:after="156"/>
        <w:outlineLvl w:val="4"/>
        <w:rPr>
          <w:color w:val="000000" w:themeColor="text1"/>
          <w14:textFill>
            <w14:solidFill>
              <w14:schemeClr w14:val="tx1"/>
            </w14:solidFill>
          </w14:textFill>
        </w:rPr>
      </w:pPr>
      <w:r>
        <w:rPr>
          <w:rFonts w:hint="eastAsia"/>
          <w:color w:val="000000" w:themeColor="text1"/>
          <w14:textFill>
            <w14:solidFill>
              <w14:schemeClr w14:val="tx1"/>
            </w14:solidFill>
          </w14:textFill>
        </w:rPr>
        <w:t>C.4.2.3 II级应急行动</w:t>
      </w:r>
    </w:p>
    <w:p w14:paraId="029A9649">
      <w:pPr>
        <w:pStyle w:val="26"/>
        <w:numPr>
          <w:ilvl w:val="0"/>
          <w:numId w:val="4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应急领导小组安排领导带班，其他成员随时待命，手机24h保持联络畅通。</w:t>
      </w:r>
    </w:p>
    <w:p w14:paraId="7F841EB2">
      <w:pPr>
        <w:pStyle w:val="26"/>
        <w:numPr>
          <w:ilvl w:val="0"/>
          <w:numId w:val="4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应急工作小组全天排班，相关人员取消休假，手机24h保持联络畅通。</w:t>
      </w:r>
    </w:p>
    <w:p w14:paraId="0A9A8B01">
      <w:pPr>
        <w:pStyle w:val="26"/>
        <w:numPr>
          <w:ilvl w:val="0"/>
          <w:numId w:val="4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应急工作小组随时收集、整理、发布应急响应活动的信息并每日上午10点和下午4点向应急领导小组报告，直至应急事件结束。</w:t>
      </w:r>
    </w:p>
    <w:p w14:paraId="65D364FA">
      <w:pPr>
        <w:pStyle w:val="26"/>
        <w:numPr>
          <w:ilvl w:val="0"/>
          <w:numId w:val="4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相关责任部门、人员及时处理紧急情况，加强值守，排除隐患。</w:t>
      </w:r>
    </w:p>
    <w:p w14:paraId="79D5ACD3">
      <w:pPr>
        <w:pStyle w:val="26"/>
        <w:numPr>
          <w:ilvl w:val="0"/>
          <w:numId w:val="4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各业务部门在应急响应结束后24h内向应急工作小组提交应急工作总结。</w:t>
      </w:r>
    </w:p>
    <w:p w14:paraId="15540AF9">
      <w:pPr>
        <w:pStyle w:val="26"/>
        <w:numPr>
          <w:ilvl w:val="0"/>
          <w:numId w:val="4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应急工作小组向应急领导小组提交应急事件报告。</w:t>
      </w:r>
    </w:p>
    <w:p w14:paraId="5435B0B9">
      <w:pPr>
        <w:pStyle w:val="23"/>
        <w:spacing w:before="156" w:after="156"/>
        <w:outlineLvl w:val="4"/>
        <w:rPr>
          <w:color w:val="000000" w:themeColor="text1"/>
          <w14:textFill>
            <w14:solidFill>
              <w14:schemeClr w14:val="tx1"/>
            </w14:solidFill>
          </w14:textFill>
        </w:rPr>
      </w:pPr>
      <w:r>
        <w:rPr>
          <w:rFonts w:hint="eastAsia"/>
          <w:color w:val="000000" w:themeColor="text1"/>
          <w14:textFill>
            <w14:solidFill>
              <w14:schemeClr w14:val="tx1"/>
            </w14:solidFill>
          </w14:textFill>
        </w:rPr>
        <w:t>C.4.2.4 I级应急行动</w:t>
      </w:r>
    </w:p>
    <w:p w14:paraId="2AC980E0">
      <w:pPr>
        <w:pStyle w:val="26"/>
        <w:numPr>
          <w:ilvl w:val="0"/>
          <w:numId w:val="4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应急领导小组全体在岗待命，企业进入应急状态，值班领导30min内到达应急指挥中心，手机24h保持联络畅通，随时关注事态进展。</w:t>
      </w:r>
    </w:p>
    <w:p w14:paraId="0F61D8C9">
      <w:pPr>
        <w:pStyle w:val="26"/>
        <w:numPr>
          <w:ilvl w:val="0"/>
          <w:numId w:val="4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应急工作小组在响应启动的1h内向应急领导小组上报未来3d的应急值班表。</w:t>
      </w:r>
    </w:p>
    <w:p w14:paraId="37C64E78">
      <w:pPr>
        <w:pStyle w:val="26"/>
        <w:numPr>
          <w:ilvl w:val="0"/>
          <w:numId w:val="4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应急领导小组2h内发布应急响应活动信息并随时向上级主管部门报告，直至应急事件结束。</w:t>
      </w:r>
    </w:p>
    <w:p w14:paraId="4DBD14F4">
      <w:pPr>
        <w:pStyle w:val="26"/>
        <w:numPr>
          <w:ilvl w:val="0"/>
          <w:numId w:val="4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各业务部门做好应急处置的协调、监督、处置工作，后勤部门做好生活保障工作，加强值守班的安全管理。</w:t>
      </w:r>
    </w:p>
    <w:p w14:paraId="69D9B9CB">
      <w:pPr>
        <w:pStyle w:val="26"/>
        <w:numPr>
          <w:ilvl w:val="0"/>
          <w:numId w:val="4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各业务部门在应急响应结束后24h内向应急工作小组提交应急工作总结。</w:t>
      </w:r>
    </w:p>
    <w:p w14:paraId="60B982D3">
      <w:pPr>
        <w:pStyle w:val="26"/>
        <w:numPr>
          <w:ilvl w:val="0"/>
          <w:numId w:val="49"/>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应急工作小组向应急领导小组提交应急事件报告。</w:t>
      </w:r>
    </w:p>
    <w:p w14:paraId="47DCCFF0">
      <w:pPr>
        <w:pStyle w:val="23"/>
        <w:spacing w:before="156" w:after="156"/>
        <w:outlineLvl w:val="4"/>
        <w:rPr>
          <w:color w:val="000000" w:themeColor="text1"/>
          <w14:textFill>
            <w14:solidFill>
              <w14:schemeClr w14:val="tx1"/>
            </w14:solidFill>
          </w14:textFill>
        </w:rPr>
      </w:pPr>
      <w:r>
        <w:rPr>
          <w:rFonts w:hint="eastAsia"/>
          <w:color w:val="000000" w:themeColor="text1"/>
          <w14:textFill>
            <w14:solidFill>
              <w14:schemeClr w14:val="tx1"/>
            </w14:solidFill>
          </w14:textFill>
        </w:rPr>
        <w:t>C.4.2.5 特殊应急状态响应活动</w:t>
      </w:r>
    </w:p>
    <w:p w14:paraId="7D220A9E">
      <w:pPr>
        <w:pStyle w:val="26"/>
        <w:numPr>
          <w:ilvl w:val="0"/>
          <w:numId w:val="50"/>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企业遇到以下情况时：</w:t>
      </w:r>
    </w:p>
    <w:p w14:paraId="1DFE46D6">
      <w:pPr>
        <w:pStyle w:val="28"/>
        <w:widowControl/>
        <w:numPr>
          <w:ilvl w:val="0"/>
          <w:numId w:val="51"/>
        </w:numPr>
        <w:spacing w:line="240" w:lineRule="auto"/>
        <w:ind w:firstLineChars="0"/>
        <w:rPr>
          <w:rFonts w:ascii="宋体"/>
          <w:color w:val="000000" w:themeColor="text1"/>
          <w:kern w:val="0"/>
          <w:szCs w:val="20"/>
          <w14:textFill>
            <w14:solidFill>
              <w14:schemeClr w14:val="tx1"/>
            </w14:solidFill>
          </w14:textFill>
          <w14:ligatures w14:val="standardContextual"/>
        </w:rPr>
      </w:pPr>
      <w:r>
        <w:rPr>
          <w:rFonts w:hint="eastAsia" w:ascii="宋体"/>
          <w:color w:val="000000" w:themeColor="text1"/>
          <w:kern w:val="0"/>
          <w:szCs w:val="20"/>
          <w14:textFill>
            <w14:solidFill>
              <w14:schemeClr w14:val="tx1"/>
            </w14:solidFill>
          </w14:textFill>
          <w14:ligatures w14:val="standardContextual"/>
        </w:rPr>
        <w:t>业务自检时发现由于业务事故导致应急领导小组发布了错误应急事件信息。</w:t>
      </w:r>
    </w:p>
    <w:p w14:paraId="3EF047E6">
      <w:pPr>
        <w:pStyle w:val="28"/>
        <w:widowControl/>
        <w:numPr>
          <w:ilvl w:val="0"/>
          <w:numId w:val="51"/>
        </w:numPr>
        <w:spacing w:line="240" w:lineRule="auto"/>
        <w:ind w:firstLineChars="0"/>
        <w:rPr>
          <w:rFonts w:ascii="宋体"/>
          <w:color w:val="000000" w:themeColor="text1"/>
          <w:kern w:val="0"/>
          <w:szCs w:val="20"/>
          <w14:textFill>
            <w14:solidFill>
              <w14:schemeClr w14:val="tx1"/>
            </w14:solidFill>
          </w14:textFill>
          <w14:ligatures w14:val="standardContextual"/>
        </w:rPr>
      </w:pPr>
      <w:r>
        <w:rPr>
          <w:rFonts w:hint="eastAsia" w:ascii="宋体"/>
          <w:color w:val="000000" w:themeColor="text1"/>
          <w:kern w:val="0"/>
          <w:szCs w:val="20"/>
          <w14:textFill>
            <w14:solidFill>
              <w14:schemeClr w14:val="tx1"/>
            </w14:solidFill>
          </w14:textFill>
          <w14:ligatures w14:val="standardContextual"/>
        </w:rPr>
        <w:t>可靠人员反映有错误应急事件信息发布。</w:t>
      </w:r>
    </w:p>
    <w:p w14:paraId="23031953">
      <w:pPr>
        <w:pStyle w:val="26"/>
        <w:numPr>
          <w:ilvl w:val="0"/>
          <w:numId w:val="50"/>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相关人员在5min内上报应急领导小组，由应急领导小组安排核实工作，并在核实发布错误信息后的10min内，应急工作小组联系发布应急信息的渠道进行下线工作，直至所有错误信息下线。</w:t>
      </w:r>
    </w:p>
    <w:p w14:paraId="48EF45AA">
      <w:pPr>
        <w:pStyle w:val="26"/>
        <w:numPr>
          <w:ilvl w:val="0"/>
          <w:numId w:val="50"/>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应急工作小组复盘事件原因，并提交应急事件报告。</w:t>
      </w:r>
    </w:p>
    <w:p w14:paraId="1E5073A9">
      <w:pPr>
        <w:pStyle w:val="23"/>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C.4.3 具体处置措施</w:t>
      </w:r>
    </w:p>
    <w:p w14:paraId="0F71D943">
      <w:pPr>
        <w:pStyle w:val="23"/>
        <w:spacing w:before="156" w:after="156"/>
        <w:outlineLvl w:val="4"/>
        <w:rPr>
          <w:color w:val="000000" w:themeColor="text1"/>
          <w14:textFill>
            <w14:solidFill>
              <w14:schemeClr w14:val="tx1"/>
            </w14:solidFill>
          </w14:textFill>
        </w:rPr>
      </w:pPr>
      <w:r>
        <w:rPr>
          <w:rFonts w:hint="eastAsia"/>
          <w:color w:val="000000" w:themeColor="text1"/>
          <w14:textFill>
            <w14:solidFill>
              <w14:schemeClr w14:val="tx1"/>
            </w14:solidFill>
          </w14:textFill>
        </w:rPr>
        <w:t>C.4.3.1 故障类安全应急事件</w:t>
      </w:r>
    </w:p>
    <w:p w14:paraId="1DA8A207">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故障类安全应急事件主要包括单机故障、网络故障、系统故障、不间断电源故障等，可按照单机故障-网络故障-系统故障-电源故障的顺序进行排查。</w:t>
      </w:r>
    </w:p>
    <w:p w14:paraId="695CB358">
      <w:pPr>
        <w:pStyle w:val="26"/>
        <w:numPr>
          <w:ilvl w:val="0"/>
          <w:numId w:val="5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单机故障</w:t>
      </w:r>
    </w:p>
    <w:p w14:paraId="245917C7">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单机故障为仅本机出现异常，其他设备均无异常情况。经判断为单机故障的问题，影响范围较小，可直接由计算机维护员或网络维护员处理。</w:t>
      </w:r>
    </w:p>
    <w:p w14:paraId="08F1FAD9">
      <w:pPr>
        <w:pStyle w:val="26"/>
        <w:numPr>
          <w:ilvl w:val="0"/>
          <w:numId w:val="5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网络故障</w:t>
      </w:r>
    </w:p>
    <w:p w14:paraId="46310A3C">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网络故障通常表现为网络中断，通常处于Ⅱ-Ⅳ级之间，即网络大面积或局部中断。一般可尝试由计算机维护员或网络维护员切换备用线路、接口替换、更换网线、交换机配置调整、交换机替换等操作进行网络修复。如果无法恢复，可向相关支撑单位寻求技术支持。</w:t>
      </w:r>
    </w:p>
    <w:p w14:paraId="62626A80">
      <w:pPr>
        <w:pStyle w:val="26"/>
        <w:numPr>
          <w:ilvl w:val="0"/>
          <w:numId w:val="5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系统故障</w:t>
      </w:r>
    </w:p>
    <w:p w14:paraId="749C8E02">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系统故障通常表现为业务响应异常等现象，通常处于Ⅱ-Ⅳ级之间，即重要信息系统大面积或局部不可用，一般可由系统负责人员根据系统提供的运维手册进行故障确认与修复。如果无法恢复，可向开发单位寻求技术支持。</w:t>
      </w:r>
    </w:p>
    <w:p w14:paraId="3500D6F1">
      <w:pPr>
        <w:pStyle w:val="26"/>
        <w:numPr>
          <w:ilvl w:val="0"/>
          <w:numId w:val="5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市电电源故障且不间断电源无法使用</w:t>
      </w:r>
    </w:p>
    <w:p w14:paraId="7C42AAE6">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市电电源故障且不间断电源无法使用表现为需要临时供电设备无法使用，可由物业部门确认现场市电情况，确认市电恢复时间；由机房管理员确认现场不间断电源情况，设备是否正常开机，电力开关是否跳闸。如不间断电源未开机或电力开关跳闸，应在第一时间进行恢复；如不间断电源与电力开关均正常且不间断电源无负载显示，由机房管理员进一步确认现场电力线路是否进行过改动，现场用电设备是否自身故障。各不间断电源使用部门宜至少每半年度进行一次不间断电源放电切换，用于验证不间断电源可靠性与电池持久性。</w:t>
      </w:r>
    </w:p>
    <w:p w14:paraId="24A3211C">
      <w:pPr>
        <w:pStyle w:val="23"/>
        <w:spacing w:before="156" w:after="156"/>
        <w:outlineLvl w:val="4"/>
        <w:rPr>
          <w:color w:val="000000" w:themeColor="text1"/>
          <w14:textFill>
            <w14:solidFill>
              <w14:schemeClr w14:val="tx1"/>
            </w14:solidFill>
          </w14:textFill>
        </w:rPr>
      </w:pPr>
      <w:r>
        <w:rPr>
          <w:rFonts w:hint="eastAsia"/>
          <w:color w:val="000000" w:themeColor="text1"/>
          <w14:textFill>
            <w14:solidFill>
              <w14:schemeClr w14:val="tx1"/>
            </w14:solidFill>
          </w14:textFill>
        </w:rPr>
        <w:t>C.4.3.2 有害程序类安全应急事件</w:t>
      </w:r>
    </w:p>
    <w:p w14:paraId="2139E3D9">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害程序类突发事件大多表现为电脑或服务器感染恶意软件，导致电脑或服务器运行缓慢或直接失去响应。有害程序类安全应急事件通常需要计算机维护员、网络维护员、机房管理员等人员共同处置，将包括但不限于受感染服务器和相应连接主机进行大范围断网隔离后进行杀毒处理，并对全网进行扫描恶意软件扫描。如有条件可协调更换设备确保业务继续进行。如过无法恢复，可向相关支撑单位寻求技术支持。</w:t>
      </w:r>
    </w:p>
    <w:p w14:paraId="44E6C9E8">
      <w:pPr>
        <w:pStyle w:val="23"/>
        <w:spacing w:before="156" w:after="156"/>
        <w:outlineLvl w:val="4"/>
        <w:rPr>
          <w:color w:val="000000" w:themeColor="text1"/>
          <w14:textFill>
            <w14:solidFill>
              <w14:schemeClr w14:val="tx1"/>
            </w14:solidFill>
          </w14:textFill>
        </w:rPr>
      </w:pPr>
      <w:r>
        <w:rPr>
          <w:rFonts w:hint="eastAsia"/>
          <w:color w:val="000000" w:themeColor="text1"/>
          <w14:textFill>
            <w14:solidFill>
              <w14:schemeClr w14:val="tx1"/>
            </w14:solidFill>
          </w14:textFill>
        </w:rPr>
        <w:t>C.4.3.3 信息数据类安全应急事件</w:t>
      </w:r>
    </w:p>
    <w:p w14:paraId="64DCAD75">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信息数据类安全突发事件主要表现为外发布信息内容被第三方篡改和内部数据泄露、信息数据破坏。</w:t>
      </w:r>
    </w:p>
    <w:p w14:paraId="00F75C17">
      <w:pPr>
        <w:pStyle w:val="26"/>
        <w:numPr>
          <w:ilvl w:val="0"/>
          <w:numId w:val="5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外发布信息内容被第三方篡改</w:t>
      </w:r>
    </w:p>
    <w:p w14:paraId="2C949820">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发布信息内容被第三方篡改往往表现为对外发布内与原内容产生偏差，有相关外来举报；或被恶意篡改为政治敏感信息，造成恶劣的社会影响，干扰正常公司对外服务，损害公司对外形象。因由及时恢复对外信息原本内容，切断对外网络，排查信息篡改途径，修复漏洞，必要时可联系支撑单位获取技术支持。宜由应急工作小组协助外宣及服务部门进行舆情监控，配合进行宣传与解释的信息发布。请求网络安全部门。若为I级安全应急事件，宜上报至行业安全主管部门并申请介入调查，配合相关证据收集整理工作。</w:t>
      </w:r>
    </w:p>
    <w:p w14:paraId="5B9CDF30">
      <w:pPr>
        <w:pStyle w:val="26"/>
        <w:numPr>
          <w:ilvl w:val="0"/>
          <w:numId w:val="5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内部数据泄露</w:t>
      </w:r>
    </w:p>
    <w:p w14:paraId="2C2B186E">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内部数据泄露表现为内部重要敏感信息和关键数据被窃取并在互联网上发布，对企业造成严重经济损失或产生严重不良社会影响。应由应急领导小组发布I级安全应急事件，第一时间与发布泄露数据的平台取得联系，请求立刻将公布的内容删除，并上报至行业安全主管部门并申请介入调查，配合相关证据收集整理工作。由应急工作小组对内部接触数据的人员进行审查，调查数据泄露途径，并对所有操作记录进行提取并备案，用于配合行业安全主管部门调查。协助外宣及服务部门进行舆情监控，配合进行宣传与解释的信息发布。</w:t>
      </w:r>
    </w:p>
    <w:p w14:paraId="0C5509FB">
      <w:pPr>
        <w:pStyle w:val="26"/>
        <w:numPr>
          <w:ilvl w:val="0"/>
          <w:numId w:val="5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信息数据破坏</w:t>
      </w:r>
    </w:p>
    <w:p w14:paraId="356CA9BE">
      <w:pPr>
        <w:pStyle w:val="12"/>
        <w:spacing w:before="0" w:beforeAutospacing="0" w:after="0" w:afterAutospacing="0" w:line="24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信息数据损坏表现为数据无法识别、存储截止损坏，导致业务无法正常进行。根据数据的重要程度和数据可恢复性，通常划分为Ⅱ-Ⅲ级。发生信息数据破坏事件时，应由重要信息系统负责人及机房管理员第一时间提取备份数据，确定损坏数据范围并对缺失的数据进行修复，并组织业务部门对数据进行核对确认、对损坏数据进行补录，同步排查数据损坏原因。针对无法修复的数据应联系支撑单位提供技术支持，确保业务继续进行。</w:t>
      </w:r>
    </w:p>
    <w:p w14:paraId="24B8A369">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285" w:name="_Toc1932017794"/>
      <w:bookmarkStart w:id="286" w:name="_Toc207032593"/>
      <w:r>
        <w:rPr>
          <w:rFonts w:hint="eastAsia" w:ascii="黑体" w:hAnsi="黑体" w:eastAsia="黑体"/>
          <w:color w:val="000000" w:themeColor="text1"/>
          <w:szCs w:val="21"/>
          <w14:textFill>
            <w14:solidFill>
              <w14:schemeClr w14:val="tx1"/>
            </w14:solidFill>
          </w14:textFill>
        </w:rPr>
        <w:t>C.5培训与演练</w:t>
      </w:r>
      <w:bookmarkEnd w:id="285"/>
      <w:bookmarkEnd w:id="286"/>
    </w:p>
    <w:p w14:paraId="5A61AE43">
      <w:pPr>
        <w:pStyle w:val="23"/>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C.5.1培训</w:t>
      </w:r>
    </w:p>
    <w:p w14:paraId="7067263D">
      <w:pPr>
        <w:pStyle w:val="23"/>
        <w:spacing w:before="156" w:after="156"/>
        <w:outlineLvl w:val="4"/>
        <w:rPr>
          <w:color w:val="000000" w:themeColor="text1"/>
          <w14:textFill>
            <w14:solidFill>
              <w14:schemeClr w14:val="tx1"/>
            </w14:solidFill>
          </w14:textFill>
        </w:rPr>
      </w:pPr>
      <w:r>
        <w:rPr>
          <w:rFonts w:hint="eastAsia"/>
          <w:color w:val="000000" w:themeColor="text1"/>
          <w14:textFill>
            <w14:solidFill>
              <w14:schemeClr w14:val="tx1"/>
            </w14:solidFill>
          </w14:textFill>
        </w:rPr>
        <w:t>C.5.1.1 企业每年应当制定培训计划，组织培训人员、培训内容和培训活动，提升和加强员工的技能和应急事件的应对能力。</w:t>
      </w:r>
    </w:p>
    <w:p w14:paraId="4032F390">
      <w:pPr>
        <w:pStyle w:val="23"/>
        <w:spacing w:before="156" w:after="156"/>
        <w:outlineLvl w:val="4"/>
        <w:rPr>
          <w:color w:val="000000" w:themeColor="text1"/>
          <w14:textFill>
            <w14:solidFill>
              <w14:schemeClr w14:val="tx1"/>
            </w14:solidFill>
          </w14:textFill>
        </w:rPr>
      </w:pPr>
      <w:r>
        <w:rPr>
          <w:rFonts w:hint="eastAsia"/>
          <w:color w:val="000000" w:themeColor="text1"/>
          <w14:textFill>
            <w14:solidFill>
              <w14:schemeClr w14:val="tx1"/>
            </w14:solidFill>
          </w14:textFill>
        </w:rPr>
        <w:t>C.5.1.2培训内容</w:t>
      </w:r>
    </w:p>
    <w:p w14:paraId="7DB6A976">
      <w:pPr>
        <w:pStyle w:val="26"/>
        <w:numPr>
          <w:ilvl w:val="0"/>
          <w:numId w:val="5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有关信息系统安全的法律、法规、政策、规章和标准；</w:t>
      </w:r>
    </w:p>
    <w:p w14:paraId="638FFF03">
      <w:pPr>
        <w:pStyle w:val="26"/>
        <w:numPr>
          <w:ilvl w:val="0"/>
          <w:numId w:val="5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有关企业内部的管理体系、制度、组织架构、应急响应流程；</w:t>
      </w:r>
    </w:p>
    <w:p w14:paraId="26370CB4">
      <w:pPr>
        <w:pStyle w:val="26"/>
        <w:numPr>
          <w:ilvl w:val="0"/>
          <w:numId w:val="5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水务应急系统相关的基本知识、运维技术、应急预案和预防措施。</w:t>
      </w:r>
    </w:p>
    <w:p w14:paraId="28EF1D79">
      <w:pPr>
        <w:pStyle w:val="23"/>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C.5.2 演练</w:t>
      </w:r>
    </w:p>
    <w:p w14:paraId="784A7AC1">
      <w:pPr>
        <w:pStyle w:val="23"/>
        <w:spacing w:before="156" w:after="156"/>
        <w:outlineLvl w:val="4"/>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C.5.2.1企业每年应当制定培演练计划，明确演练目标、参与人员、演练场景、应急事件等级，确保演练的有效性和实用性。</w:t>
      </w:r>
    </w:p>
    <w:p w14:paraId="5C54291C">
      <w:pPr>
        <w:pStyle w:val="23"/>
        <w:spacing w:before="156" w:after="156"/>
        <w:outlineLvl w:val="4"/>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C.5.2.2 定期开展演练，设计真实的场景和情境，演练期间相关人员表现纳入考核。</w:t>
      </w:r>
    </w:p>
    <w:p w14:paraId="23B9FFB3">
      <w:pPr>
        <w:pStyle w:val="23"/>
        <w:spacing w:before="156" w:after="156"/>
        <w:outlineLvl w:val="4"/>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C.5.2.3 演练结束进行评估，收集反馈意见和演练效果，发现问题并提交改进报告。</w:t>
      </w:r>
    </w:p>
    <w:p w14:paraId="3193386A">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287" w:name="_Toc207032594"/>
      <w:bookmarkStart w:id="288" w:name="_Toc1470321118"/>
      <w:r>
        <w:rPr>
          <w:rFonts w:hint="eastAsia" w:ascii="黑体" w:hAnsi="黑体" w:eastAsia="黑体"/>
          <w:color w:val="000000" w:themeColor="text1"/>
          <w:szCs w:val="21"/>
          <w14:textFill>
            <w14:solidFill>
              <w14:schemeClr w14:val="tx1"/>
            </w14:solidFill>
          </w14:textFill>
        </w:rPr>
        <w:t>C.6预案后评估</w:t>
      </w:r>
      <w:bookmarkEnd w:id="287"/>
      <w:bookmarkEnd w:id="288"/>
    </w:p>
    <w:p w14:paraId="77E811CC">
      <w:pPr>
        <w:pStyle w:val="23"/>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C.6.1 预案回顾</w:t>
      </w:r>
    </w:p>
    <w:p w14:paraId="1CFFB067">
      <w:pPr>
        <w:pStyle w:val="23"/>
        <w:spacing w:before="156" w:after="156"/>
        <w:outlineLvl w:val="4"/>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C.6.1.1 </w:t>
      </w:r>
      <w:r>
        <w:rPr>
          <w:rFonts w:hint="eastAsia" w:ascii="宋体" w:hAnsi="宋体" w:eastAsia="宋体"/>
          <w:color w:val="000000" w:themeColor="text1"/>
          <w14:textFill>
            <w14:solidFill>
              <w14:schemeClr w14:val="tx1"/>
            </w14:solidFill>
          </w14:textFill>
        </w:rPr>
        <w:t>回顾已执行应急预案的流程和具体应对措施，执行过程中的效率、沟通和风险情况。</w:t>
      </w:r>
    </w:p>
    <w:p w14:paraId="181F2B79">
      <w:pPr>
        <w:pStyle w:val="23"/>
        <w:spacing w:before="156" w:after="156"/>
        <w:outlineLvl w:val="4"/>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C.6.1.2 </w:t>
      </w:r>
      <w:r>
        <w:rPr>
          <w:rFonts w:hint="eastAsia" w:ascii="宋体" w:hAnsi="宋体" w:eastAsia="宋体"/>
          <w:color w:val="000000" w:themeColor="text1"/>
          <w14:textFill>
            <w14:solidFill>
              <w14:schemeClr w14:val="tx1"/>
            </w14:solidFill>
          </w14:textFill>
        </w:rPr>
        <w:t>回顾发现的问题、响应时间、资源分配、人员参与度和协作情况。</w:t>
      </w:r>
    </w:p>
    <w:p w14:paraId="7ED38271">
      <w:pPr>
        <w:pStyle w:val="23"/>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C.6.2 总结与改进</w:t>
      </w:r>
    </w:p>
    <w:p w14:paraId="13401FD1">
      <w:pPr>
        <w:pStyle w:val="23"/>
        <w:spacing w:before="156" w:after="156"/>
        <w:outlineLvl w:val="4"/>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C.6.2.1 </w:t>
      </w:r>
      <w:r>
        <w:rPr>
          <w:rFonts w:hint="eastAsia" w:ascii="宋体" w:hAnsi="宋体" w:eastAsia="宋体"/>
          <w:color w:val="000000" w:themeColor="text1"/>
          <w14:textFill>
            <w14:solidFill>
              <w14:schemeClr w14:val="tx1"/>
            </w14:solidFill>
          </w14:textFill>
        </w:rPr>
        <w:t>总结预案执行过程中的经验教训，包括成功经验和失败教训。</w:t>
      </w:r>
    </w:p>
    <w:p w14:paraId="1E1144A8">
      <w:pPr>
        <w:pStyle w:val="23"/>
        <w:spacing w:before="156" w:after="156"/>
        <w:outlineLvl w:val="4"/>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C.6.2.2 </w:t>
      </w:r>
      <w:r>
        <w:rPr>
          <w:rFonts w:hint="eastAsia" w:ascii="宋体" w:hAnsi="宋体" w:eastAsia="宋体"/>
          <w:color w:val="000000" w:themeColor="text1"/>
          <w14:textFill>
            <w14:solidFill>
              <w14:schemeClr w14:val="tx1"/>
            </w14:solidFill>
          </w14:textFill>
        </w:rPr>
        <w:t>提出改进建议、行动计划和改进时间表，更新应急问题</w:t>
      </w:r>
      <w:r>
        <w:rPr>
          <w:rFonts w:ascii="宋体" w:hAnsi="宋体" w:eastAsia="宋体"/>
          <w:color w:val="000000" w:themeColor="text1"/>
          <w14:textFill>
            <w14:solidFill>
              <w14:schemeClr w14:val="tx1"/>
            </w14:solidFill>
          </w14:textFill>
        </w:rPr>
        <w:t>QA表。</w:t>
      </w:r>
    </w:p>
    <w:p w14:paraId="1783AF8F">
      <w:pPr>
        <w:pStyle w:val="23"/>
        <w:spacing w:before="156" w:after="156"/>
        <w:outlineLvl w:val="4"/>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C.6.2.3 </w:t>
      </w:r>
      <w:r>
        <w:rPr>
          <w:rFonts w:hint="eastAsia" w:ascii="宋体" w:hAnsi="宋体" w:eastAsia="宋体"/>
          <w:color w:val="000000" w:themeColor="text1"/>
          <w14:textFill>
            <w14:solidFill>
              <w14:schemeClr w14:val="tx1"/>
            </w14:solidFill>
          </w14:textFill>
        </w:rPr>
        <w:t>组织培训应急领导小组、应急工作小组和相关业务部门，培训分享相关改进内容。</w:t>
      </w:r>
    </w:p>
    <w:p w14:paraId="31F2C237">
      <w:pPr>
        <w:widowControl/>
        <w:spacing w:before="156" w:beforeLines="50" w:after="156" w:afterLines="50" w:line="240" w:lineRule="auto"/>
        <w:jc w:val="left"/>
        <w:outlineLvl w:val="2"/>
        <w:rPr>
          <w:rFonts w:ascii="黑体" w:hAnsi="黑体" w:eastAsia="黑体"/>
          <w:color w:val="000000" w:themeColor="text1"/>
          <w:szCs w:val="21"/>
          <w14:textFill>
            <w14:solidFill>
              <w14:schemeClr w14:val="tx1"/>
            </w14:solidFill>
          </w14:textFill>
        </w:rPr>
      </w:pPr>
      <w:bookmarkStart w:id="289" w:name="_Toc592704197"/>
      <w:bookmarkStart w:id="290" w:name="_Toc207032595"/>
      <w:r>
        <w:rPr>
          <w:rFonts w:hint="eastAsia" w:ascii="黑体" w:hAnsi="黑体" w:eastAsia="黑体"/>
          <w:color w:val="000000" w:themeColor="text1"/>
          <w:szCs w:val="21"/>
          <w14:textFill>
            <w14:solidFill>
              <w14:schemeClr w14:val="tx1"/>
            </w14:solidFill>
          </w14:textFill>
        </w:rPr>
        <w:t>C.7 安全责任人联系清单</w:t>
      </w:r>
      <w:bookmarkEnd w:id="289"/>
      <w:bookmarkEnd w:id="290"/>
    </w:p>
    <w:p w14:paraId="49117379">
      <w:pPr>
        <w:pStyle w:val="23"/>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C.7.1 重要信息系统责任人清单</w:t>
      </w:r>
    </w:p>
    <w:p w14:paraId="3D87CB57">
      <w:pPr>
        <w:pStyle w:val="26"/>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重要信息系统责任人见表C1。</w:t>
      </w:r>
    </w:p>
    <w:p w14:paraId="1D908F0A">
      <w:pPr>
        <w:pStyle w:val="3"/>
        <w:spacing w:line="240" w:lineRule="auto"/>
        <w:jc w:val="center"/>
        <w:rPr>
          <w:rFonts w:ascii="黑体" w:hAnsi="黑体"/>
          <w:color w:val="000000" w:themeColor="text1"/>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表 C1 重要信息系统责任人表</w:t>
      </w:r>
    </w:p>
    <w:tbl>
      <w:tblPr>
        <w:tblStyle w:val="1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130"/>
        <w:gridCol w:w="2130"/>
        <w:gridCol w:w="2130"/>
      </w:tblGrid>
      <w:tr w14:paraId="1688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Align w:val="center"/>
          </w:tcPr>
          <w:p w14:paraId="4DCC4295">
            <w:pPr>
              <w:spacing w:line="240" w:lineRule="auto"/>
              <w:jc w:val="center"/>
              <w:rPr>
                <w:rFonts w:ascii="黑体" w:hAnsi="黑体" w:eastAsia="黑体"/>
                <w:bCs/>
                <w:color w:val="000000" w:themeColor="text1"/>
                <w:kern w:val="0"/>
                <w:szCs w:val="21"/>
                <w14:textFill>
                  <w14:solidFill>
                    <w14:schemeClr w14:val="tx1"/>
                  </w14:solidFill>
                </w14:textFill>
              </w:rPr>
            </w:pPr>
            <w:r>
              <w:rPr>
                <w:rFonts w:hint="eastAsia" w:ascii="黑体" w:hAnsi="黑体" w:eastAsia="黑体"/>
                <w:bCs/>
                <w:color w:val="000000" w:themeColor="text1"/>
                <w:kern w:val="0"/>
                <w:szCs w:val="21"/>
                <w14:textFill>
                  <w14:solidFill>
                    <w14:schemeClr w14:val="tx1"/>
                  </w14:solidFill>
                </w14:textFill>
              </w:rPr>
              <w:t>系统名称</w:t>
            </w:r>
          </w:p>
        </w:tc>
        <w:tc>
          <w:tcPr>
            <w:tcW w:w="2130" w:type="dxa"/>
            <w:vAlign w:val="center"/>
          </w:tcPr>
          <w:p w14:paraId="302320B4">
            <w:pPr>
              <w:spacing w:line="240" w:lineRule="auto"/>
              <w:jc w:val="center"/>
              <w:rPr>
                <w:rFonts w:ascii="黑体" w:hAnsi="黑体" w:eastAsia="黑体"/>
                <w:bCs/>
                <w:color w:val="000000" w:themeColor="text1"/>
                <w:kern w:val="0"/>
                <w:szCs w:val="21"/>
                <w14:textFill>
                  <w14:solidFill>
                    <w14:schemeClr w14:val="tx1"/>
                  </w14:solidFill>
                </w14:textFill>
              </w:rPr>
            </w:pPr>
            <w:r>
              <w:rPr>
                <w:rFonts w:hint="eastAsia" w:ascii="黑体" w:hAnsi="黑体" w:eastAsia="黑体"/>
                <w:bCs/>
                <w:color w:val="000000" w:themeColor="text1"/>
                <w:kern w:val="0"/>
                <w:szCs w:val="21"/>
                <w14:textFill>
                  <w14:solidFill>
                    <w14:schemeClr w14:val="tx1"/>
                  </w14:solidFill>
                </w14:textFill>
              </w:rPr>
              <w:t>系统责任人</w:t>
            </w:r>
          </w:p>
          <w:p w14:paraId="4EAA534F">
            <w:pPr>
              <w:spacing w:line="240" w:lineRule="auto"/>
              <w:jc w:val="center"/>
              <w:rPr>
                <w:rFonts w:ascii="黑体" w:hAnsi="黑体" w:eastAsia="黑体"/>
                <w:bCs/>
                <w:color w:val="000000" w:themeColor="text1"/>
                <w:kern w:val="0"/>
                <w:szCs w:val="21"/>
                <w14:textFill>
                  <w14:solidFill>
                    <w14:schemeClr w14:val="tx1"/>
                  </w14:solidFill>
                </w14:textFill>
              </w:rPr>
            </w:pPr>
            <w:r>
              <w:rPr>
                <w:rFonts w:hint="eastAsia" w:ascii="黑体" w:hAnsi="黑体" w:eastAsia="黑体"/>
                <w:bCs/>
                <w:color w:val="000000" w:themeColor="text1"/>
                <w:kern w:val="0"/>
                <w:szCs w:val="21"/>
                <w14:textFill>
                  <w14:solidFill>
                    <w14:schemeClr w14:val="tx1"/>
                  </w14:solidFill>
                </w14:textFill>
              </w:rPr>
              <w:t>联系电话</w:t>
            </w:r>
          </w:p>
          <w:p w14:paraId="774AE732">
            <w:pPr>
              <w:spacing w:line="240" w:lineRule="auto"/>
              <w:jc w:val="center"/>
              <w:rPr>
                <w:rFonts w:ascii="黑体" w:hAnsi="黑体" w:eastAsia="黑体"/>
                <w:bCs/>
                <w:color w:val="000000" w:themeColor="text1"/>
                <w:kern w:val="0"/>
                <w:szCs w:val="21"/>
                <w14:textFill>
                  <w14:solidFill>
                    <w14:schemeClr w14:val="tx1"/>
                  </w14:solidFill>
                </w14:textFill>
              </w:rPr>
            </w:pPr>
            <w:r>
              <w:rPr>
                <w:rFonts w:hint="eastAsia" w:ascii="黑体" w:hAnsi="黑体" w:eastAsia="黑体"/>
                <w:bCs/>
                <w:color w:val="000000" w:themeColor="text1"/>
                <w:kern w:val="0"/>
                <w:szCs w:val="21"/>
                <w14:textFill>
                  <w14:solidFill>
                    <w14:schemeClr w14:val="tx1"/>
                  </w14:solidFill>
                </w14:textFill>
              </w:rPr>
              <w:t>（A角）</w:t>
            </w:r>
          </w:p>
        </w:tc>
        <w:tc>
          <w:tcPr>
            <w:tcW w:w="2130" w:type="dxa"/>
            <w:vAlign w:val="center"/>
          </w:tcPr>
          <w:p w14:paraId="0F945FC7">
            <w:pPr>
              <w:spacing w:line="240" w:lineRule="auto"/>
              <w:jc w:val="center"/>
              <w:rPr>
                <w:rFonts w:ascii="黑体" w:hAnsi="黑体" w:eastAsia="黑体"/>
                <w:bCs/>
                <w:color w:val="000000" w:themeColor="text1"/>
                <w:kern w:val="0"/>
                <w:szCs w:val="21"/>
                <w14:textFill>
                  <w14:solidFill>
                    <w14:schemeClr w14:val="tx1"/>
                  </w14:solidFill>
                </w14:textFill>
              </w:rPr>
            </w:pPr>
            <w:r>
              <w:rPr>
                <w:rFonts w:hint="eastAsia" w:ascii="黑体" w:hAnsi="黑体" w:eastAsia="黑体"/>
                <w:bCs/>
                <w:color w:val="000000" w:themeColor="text1"/>
                <w:kern w:val="0"/>
                <w:szCs w:val="21"/>
                <w14:textFill>
                  <w14:solidFill>
                    <w14:schemeClr w14:val="tx1"/>
                  </w14:solidFill>
                </w14:textFill>
              </w:rPr>
              <w:t>系统责任人</w:t>
            </w:r>
          </w:p>
          <w:p w14:paraId="4A2B1D73">
            <w:pPr>
              <w:spacing w:line="240" w:lineRule="auto"/>
              <w:jc w:val="center"/>
              <w:rPr>
                <w:rFonts w:ascii="黑体" w:hAnsi="黑体" w:eastAsia="黑体"/>
                <w:bCs/>
                <w:color w:val="000000" w:themeColor="text1"/>
                <w:kern w:val="0"/>
                <w:szCs w:val="21"/>
                <w14:textFill>
                  <w14:solidFill>
                    <w14:schemeClr w14:val="tx1"/>
                  </w14:solidFill>
                </w14:textFill>
              </w:rPr>
            </w:pPr>
            <w:r>
              <w:rPr>
                <w:rFonts w:hint="eastAsia" w:ascii="黑体" w:hAnsi="黑体" w:eastAsia="黑体"/>
                <w:bCs/>
                <w:color w:val="000000" w:themeColor="text1"/>
                <w:kern w:val="0"/>
                <w:szCs w:val="21"/>
                <w14:textFill>
                  <w14:solidFill>
                    <w14:schemeClr w14:val="tx1"/>
                  </w14:solidFill>
                </w14:textFill>
              </w:rPr>
              <w:t>联系电话</w:t>
            </w:r>
          </w:p>
          <w:p w14:paraId="73159B8B">
            <w:pPr>
              <w:spacing w:line="240" w:lineRule="auto"/>
              <w:jc w:val="center"/>
              <w:rPr>
                <w:rFonts w:ascii="黑体" w:hAnsi="黑体" w:eastAsia="黑体"/>
                <w:bCs/>
                <w:color w:val="000000" w:themeColor="text1"/>
                <w:kern w:val="0"/>
                <w:szCs w:val="21"/>
                <w14:textFill>
                  <w14:solidFill>
                    <w14:schemeClr w14:val="tx1"/>
                  </w14:solidFill>
                </w14:textFill>
              </w:rPr>
            </w:pPr>
            <w:r>
              <w:rPr>
                <w:rFonts w:hint="eastAsia" w:ascii="黑体" w:hAnsi="黑体" w:eastAsia="黑体"/>
                <w:bCs/>
                <w:color w:val="000000" w:themeColor="text1"/>
                <w:kern w:val="0"/>
                <w:szCs w:val="21"/>
                <w14:textFill>
                  <w14:solidFill>
                    <w14:schemeClr w14:val="tx1"/>
                  </w14:solidFill>
                </w14:textFill>
              </w:rPr>
              <w:t>（B角）</w:t>
            </w:r>
          </w:p>
        </w:tc>
        <w:tc>
          <w:tcPr>
            <w:tcW w:w="2130" w:type="dxa"/>
            <w:vAlign w:val="center"/>
          </w:tcPr>
          <w:p w14:paraId="1EFD0A60">
            <w:pPr>
              <w:spacing w:line="240" w:lineRule="auto"/>
              <w:jc w:val="center"/>
              <w:rPr>
                <w:rFonts w:ascii="黑体" w:hAnsi="黑体" w:eastAsia="黑体"/>
                <w:bCs/>
                <w:color w:val="000000" w:themeColor="text1"/>
                <w:kern w:val="0"/>
                <w:szCs w:val="21"/>
                <w14:textFill>
                  <w14:solidFill>
                    <w14:schemeClr w14:val="tx1"/>
                  </w14:solidFill>
                </w14:textFill>
              </w:rPr>
            </w:pPr>
            <w:r>
              <w:rPr>
                <w:rFonts w:hint="eastAsia" w:ascii="黑体" w:hAnsi="黑体" w:eastAsia="黑体"/>
                <w:bCs/>
                <w:color w:val="000000" w:themeColor="text1"/>
                <w:kern w:val="0"/>
                <w:szCs w:val="21"/>
                <w14:textFill>
                  <w14:solidFill>
                    <w14:schemeClr w14:val="tx1"/>
                  </w14:solidFill>
                </w14:textFill>
              </w:rPr>
              <w:t>责任领导</w:t>
            </w:r>
          </w:p>
          <w:p w14:paraId="6C83C77C">
            <w:pPr>
              <w:spacing w:line="240" w:lineRule="auto"/>
              <w:jc w:val="center"/>
              <w:rPr>
                <w:rFonts w:ascii="黑体" w:hAnsi="黑体" w:eastAsia="黑体"/>
                <w:bCs/>
                <w:color w:val="000000" w:themeColor="text1"/>
                <w:kern w:val="0"/>
                <w:szCs w:val="21"/>
                <w14:textFill>
                  <w14:solidFill>
                    <w14:schemeClr w14:val="tx1"/>
                  </w14:solidFill>
                </w14:textFill>
              </w:rPr>
            </w:pPr>
            <w:r>
              <w:rPr>
                <w:rFonts w:hint="eastAsia" w:ascii="黑体" w:hAnsi="黑体" w:eastAsia="黑体"/>
                <w:bCs/>
                <w:color w:val="000000" w:themeColor="text1"/>
                <w:kern w:val="0"/>
                <w:szCs w:val="21"/>
                <w14:textFill>
                  <w14:solidFill>
                    <w14:schemeClr w14:val="tx1"/>
                  </w14:solidFill>
                </w14:textFill>
              </w:rPr>
              <w:t>联系电话</w:t>
            </w:r>
          </w:p>
        </w:tc>
      </w:tr>
      <w:tr w14:paraId="679A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Align w:val="center"/>
          </w:tcPr>
          <w:p w14:paraId="19104B74">
            <w:pPr>
              <w:spacing w:line="240" w:lineRule="auto"/>
              <w:jc w:val="center"/>
              <w:rPr>
                <w:rFonts w:ascii="黑体" w:hAnsi="黑体" w:eastAsia="黑体"/>
                <w:bCs/>
                <w:color w:val="000000" w:themeColor="text1"/>
                <w:kern w:val="0"/>
                <w:szCs w:val="21"/>
                <w14:textFill>
                  <w14:solidFill>
                    <w14:schemeClr w14:val="tx1"/>
                  </w14:solidFill>
                </w14:textFill>
              </w:rPr>
            </w:pPr>
          </w:p>
        </w:tc>
        <w:tc>
          <w:tcPr>
            <w:tcW w:w="2130" w:type="dxa"/>
            <w:vAlign w:val="center"/>
          </w:tcPr>
          <w:p w14:paraId="212B6E52">
            <w:pPr>
              <w:spacing w:line="240" w:lineRule="auto"/>
              <w:jc w:val="center"/>
              <w:rPr>
                <w:rFonts w:ascii="黑体" w:hAnsi="黑体" w:eastAsia="黑体"/>
                <w:bCs/>
                <w:color w:val="000000" w:themeColor="text1"/>
                <w:kern w:val="0"/>
                <w:szCs w:val="21"/>
                <w14:textFill>
                  <w14:solidFill>
                    <w14:schemeClr w14:val="tx1"/>
                  </w14:solidFill>
                </w14:textFill>
              </w:rPr>
            </w:pPr>
          </w:p>
        </w:tc>
        <w:tc>
          <w:tcPr>
            <w:tcW w:w="2130" w:type="dxa"/>
            <w:vAlign w:val="center"/>
          </w:tcPr>
          <w:p w14:paraId="1A33F6B7">
            <w:pPr>
              <w:spacing w:line="240" w:lineRule="auto"/>
              <w:jc w:val="center"/>
              <w:rPr>
                <w:rFonts w:ascii="黑体" w:hAnsi="黑体" w:eastAsia="黑体"/>
                <w:bCs/>
                <w:color w:val="000000" w:themeColor="text1"/>
                <w:kern w:val="0"/>
                <w:szCs w:val="21"/>
                <w14:textFill>
                  <w14:solidFill>
                    <w14:schemeClr w14:val="tx1"/>
                  </w14:solidFill>
                </w14:textFill>
              </w:rPr>
            </w:pPr>
          </w:p>
        </w:tc>
        <w:tc>
          <w:tcPr>
            <w:tcW w:w="2130" w:type="dxa"/>
            <w:vMerge w:val="restart"/>
            <w:vAlign w:val="center"/>
          </w:tcPr>
          <w:p w14:paraId="568C836D">
            <w:pPr>
              <w:spacing w:line="240" w:lineRule="auto"/>
              <w:jc w:val="center"/>
              <w:rPr>
                <w:rFonts w:ascii="黑体" w:hAnsi="黑体" w:eastAsia="黑体"/>
                <w:bCs/>
                <w:color w:val="000000" w:themeColor="text1"/>
                <w:kern w:val="0"/>
                <w:szCs w:val="21"/>
                <w14:textFill>
                  <w14:solidFill>
                    <w14:schemeClr w14:val="tx1"/>
                  </w14:solidFill>
                </w14:textFill>
              </w:rPr>
            </w:pPr>
          </w:p>
        </w:tc>
      </w:tr>
      <w:tr w14:paraId="0B163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Align w:val="center"/>
          </w:tcPr>
          <w:p w14:paraId="38008542">
            <w:pPr>
              <w:spacing w:line="240" w:lineRule="auto"/>
              <w:jc w:val="center"/>
              <w:rPr>
                <w:rFonts w:ascii="黑体" w:hAnsi="黑体" w:eastAsia="黑体"/>
                <w:bCs/>
                <w:color w:val="000000" w:themeColor="text1"/>
                <w:kern w:val="0"/>
                <w:szCs w:val="21"/>
                <w14:textFill>
                  <w14:solidFill>
                    <w14:schemeClr w14:val="tx1"/>
                  </w14:solidFill>
                </w14:textFill>
              </w:rPr>
            </w:pPr>
          </w:p>
        </w:tc>
        <w:tc>
          <w:tcPr>
            <w:tcW w:w="2130" w:type="dxa"/>
            <w:vAlign w:val="center"/>
          </w:tcPr>
          <w:p w14:paraId="0704F831">
            <w:pPr>
              <w:spacing w:line="240" w:lineRule="auto"/>
              <w:jc w:val="center"/>
              <w:rPr>
                <w:rFonts w:ascii="黑体" w:hAnsi="黑体" w:eastAsia="黑体"/>
                <w:bCs/>
                <w:color w:val="000000" w:themeColor="text1"/>
                <w:kern w:val="0"/>
                <w:szCs w:val="21"/>
                <w14:textFill>
                  <w14:solidFill>
                    <w14:schemeClr w14:val="tx1"/>
                  </w14:solidFill>
                </w14:textFill>
              </w:rPr>
            </w:pPr>
          </w:p>
        </w:tc>
        <w:tc>
          <w:tcPr>
            <w:tcW w:w="2130" w:type="dxa"/>
            <w:vAlign w:val="center"/>
          </w:tcPr>
          <w:p w14:paraId="64B220A7">
            <w:pPr>
              <w:spacing w:line="240" w:lineRule="auto"/>
              <w:jc w:val="center"/>
              <w:rPr>
                <w:rFonts w:ascii="黑体" w:hAnsi="黑体" w:eastAsia="黑体"/>
                <w:bCs/>
                <w:color w:val="000000" w:themeColor="text1"/>
                <w:kern w:val="0"/>
                <w:szCs w:val="21"/>
                <w14:textFill>
                  <w14:solidFill>
                    <w14:schemeClr w14:val="tx1"/>
                  </w14:solidFill>
                </w14:textFill>
              </w:rPr>
            </w:pPr>
          </w:p>
        </w:tc>
        <w:tc>
          <w:tcPr>
            <w:tcW w:w="2130" w:type="dxa"/>
            <w:vMerge w:val="continue"/>
            <w:vAlign w:val="center"/>
          </w:tcPr>
          <w:p w14:paraId="209B90FE">
            <w:pPr>
              <w:spacing w:line="240" w:lineRule="auto"/>
              <w:jc w:val="center"/>
              <w:rPr>
                <w:rFonts w:ascii="黑体" w:hAnsi="黑体" w:eastAsia="黑体" w:cs="宋体"/>
                <w:color w:val="000000" w:themeColor="text1"/>
                <w:kern w:val="0"/>
                <w:szCs w:val="21"/>
                <w14:textFill>
                  <w14:solidFill>
                    <w14:schemeClr w14:val="tx1"/>
                  </w14:solidFill>
                </w14:textFill>
              </w:rPr>
            </w:pPr>
          </w:p>
        </w:tc>
      </w:tr>
      <w:tr w14:paraId="54CB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Align w:val="center"/>
          </w:tcPr>
          <w:p w14:paraId="6D4D6CE3">
            <w:pPr>
              <w:spacing w:line="240" w:lineRule="auto"/>
              <w:jc w:val="center"/>
              <w:rPr>
                <w:rFonts w:ascii="黑体" w:hAnsi="黑体" w:eastAsia="黑体"/>
                <w:bCs/>
                <w:color w:val="000000" w:themeColor="text1"/>
                <w:kern w:val="0"/>
                <w:szCs w:val="21"/>
                <w14:textFill>
                  <w14:solidFill>
                    <w14:schemeClr w14:val="tx1"/>
                  </w14:solidFill>
                </w14:textFill>
              </w:rPr>
            </w:pPr>
          </w:p>
        </w:tc>
        <w:tc>
          <w:tcPr>
            <w:tcW w:w="2130" w:type="dxa"/>
            <w:vAlign w:val="center"/>
          </w:tcPr>
          <w:p w14:paraId="4E573ABF">
            <w:pPr>
              <w:spacing w:line="240" w:lineRule="auto"/>
              <w:jc w:val="center"/>
              <w:rPr>
                <w:rFonts w:ascii="黑体" w:hAnsi="黑体" w:eastAsia="黑体"/>
                <w:bCs/>
                <w:color w:val="000000" w:themeColor="text1"/>
                <w:kern w:val="0"/>
                <w:szCs w:val="21"/>
                <w14:textFill>
                  <w14:solidFill>
                    <w14:schemeClr w14:val="tx1"/>
                  </w14:solidFill>
                </w14:textFill>
              </w:rPr>
            </w:pPr>
          </w:p>
        </w:tc>
        <w:tc>
          <w:tcPr>
            <w:tcW w:w="2130" w:type="dxa"/>
            <w:vAlign w:val="center"/>
          </w:tcPr>
          <w:p w14:paraId="03759C04">
            <w:pPr>
              <w:spacing w:line="240" w:lineRule="auto"/>
              <w:jc w:val="center"/>
              <w:rPr>
                <w:rFonts w:ascii="黑体" w:hAnsi="黑体" w:eastAsia="黑体"/>
                <w:bCs/>
                <w:color w:val="000000" w:themeColor="text1"/>
                <w:kern w:val="0"/>
                <w:szCs w:val="21"/>
                <w14:textFill>
                  <w14:solidFill>
                    <w14:schemeClr w14:val="tx1"/>
                  </w14:solidFill>
                </w14:textFill>
              </w:rPr>
            </w:pPr>
          </w:p>
        </w:tc>
        <w:tc>
          <w:tcPr>
            <w:tcW w:w="2130" w:type="dxa"/>
            <w:vMerge w:val="continue"/>
            <w:vAlign w:val="center"/>
          </w:tcPr>
          <w:p w14:paraId="51EEE4C6">
            <w:pPr>
              <w:spacing w:line="240" w:lineRule="auto"/>
              <w:jc w:val="center"/>
              <w:rPr>
                <w:rFonts w:ascii="黑体" w:hAnsi="黑体" w:eastAsia="黑体" w:cs="宋体"/>
                <w:color w:val="000000" w:themeColor="text1"/>
                <w:kern w:val="0"/>
                <w:szCs w:val="21"/>
                <w14:textFill>
                  <w14:solidFill>
                    <w14:schemeClr w14:val="tx1"/>
                  </w14:solidFill>
                </w14:textFill>
              </w:rPr>
            </w:pPr>
          </w:p>
        </w:tc>
      </w:tr>
    </w:tbl>
    <w:p w14:paraId="17D27128">
      <w:pPr>
        <w:pStyle w:val="26"/>
        <w:ind w:firstLine="420"/>
        <w:rPr>
          <w:rFonts w:hAnsi="宋体"/>
          <w:color w:val="000000" w:themeColor="text1"/>
          <w:szCs w:val="21"/>
          <w14:textFill>
            <w14:solidFill>
              <w14:schemeClr w14:val="tx1"/>
            </w14:solidFill>
          </w14:textFill>
        </w:rPr>
      </w:pPr>
    </w:p>
    <w:p w14:paraId="7F4BC1B3">
      <w:pPr>
        <w:pStyle w:val="23"/>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C.7.2 重要干系人清单</w:t>
      </w:r>
    </w:p>
    <w:p w14:paraId="1852FCBF">
      <w:pPr>
        <w:pStyle w:val="26"/>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重要干系人见表C2。</w:t>
      </w:r>
    </w:p>
    <w:p w14:paraId="42B6E3A8">
      <w:pPr>
        <w:pStyle w:val="3"/>
        <w:spacing w:line="240" w:lineRule="auto"/>
        <w:jc w:val="center"/>
        <w:rPr>
          <w:rFonts w:ascii="黑体" w:hAnsi="黑体"/>
          <w:color w:val="000000" w:themeColor="text1"/>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表 C2 重要干系人表</w:t>
      </w:r>
    </w:p>
    <w:tbl>
      <w:tblPr>
        <w:tblStyle w:val="15"/>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3194"/>
        <w:gridCol w:w="3194"/>
      </w:tblGrid>
      <w:tr w14:paraId="4C8C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9" w:type="dxa"/>
            <w:vAlign w:val="center"/>
          </w:tcPr>
          <w:p w14:paraId="7D488DAD">
            <w:pPr>
              <w:spacing w:line="240" w:lineRule="auto"/>
              <w:jc w:val="center"/>
              <w:rPr>
                <w:rFonts w:ascii="黑体" w:hAnsi="黑体" w:eastAsia="黑体"/>
                <w:bCs/>
                <w:color w:val="000000" w:themeColor="text1"/>
                <w:kern w:val="0"/>
                <w:sz w:val="18"/>
                <w:szCs w:val="18"/>
                <w14:textFill>
                  <w14:solidFill>
                    <w14:schemeClr w14:val="tx1"/>
                  </w14:solidFill>
                </w14:textFill>
              </w:rPr>
            </w:pPr>
            <w:r>
              <w:rPr>
                <w:rFonts w:hint="eastAsia" w:ascii="黑体" w:hAnsi="黑体" w:eastAsia="黑体"/>
                <w:bCs/>
                <w:color w:val="000000" w:themeColor="text1"/>
                <w:kern w:val="0"/>
                <w:sz w:val="18"/>
                <w:szCs w:val="18"/>
                <w14:textFill>
                  <w14:solidFill>
                    <w14:schemeClr w14:val="tx1"/>
                  </w14:solidFill>
                </w14:textFill>
              </w:rPr>
              <w:t>角色</w:t>
            </w:r>
          </w:p>
        </w:tc>
        <w:tc>
          <w:tcPr>
            <w:tcW w:w="3194" w:type="dxa"/>
            <w:vAlign w:val="center"/>
          </w:tcPr>
          <w:p w14:paraId="63702A65">
            <w:pPr>
              <w:spacing w:line="240" w:lineRule="auto"/>
              <w:jc w:val="center"/>
              <w:rPr>
                <w:rFonts w:ascii="黑体" w:hAnsi="黑体" w:eastAsia="黑体"/>
                <w:bCs/>
                <w:color w:val="000000" w:themeColor="text1"/>
                <w:kern w:val="0"/>
                <w:sz w:val="18"/>
                <w:szCs w:val="18"/>
                <w14:textFill>
                  <w14:solidFill>
                    <w14:schemeClr w14:val="tx1"/>
                  </w14:solidFill>
                </w14:textFill>
              </w:rPr>
            </w:pPr>
            <w:r>
              <w:rPr>
                <w:rFonts w:hint="eastAsia" w:ascii="黑体" w:hAnsi="黑体" w:eastAsia="黑体"/>
                <w:bCs/>
                <w:color w:val="000000" w:themeColor="text1"/>
                <w:kern w:val="0"/>
                <w:sz w:val="18"/>
                <w:szCs w:val="18"/>
                <w14:textFill>
                  <w14:solidFill>
                    <w14:schemeClr w14:val="tx1"/>
                  </w14:solidFill>
                </w14:textFill>
              </w:rPr>
              <w:t>责任人</w:t>
            </w:r>
          </w:p>
          <w:p w14:paraId="61174AF8">
            <w:pPr>
              <w:spacing w:line="240" w:lineRule="auto"/>
              <w:jc w:val="center"/>
              <w:rPr>
                <w:rFonts w:ascii="黑体" w:hAnsi="黑体" w:eastAsia="黑体"/>
                <w:bCs/>
                <w:color w:val="000000" w:themeColor="text1"/>
                <w:kern w:val="0"/>
                <w:sz w:val="18"/>
                <w:szCs w:val="18"/>
                <w14:textFill>
                  <w14:solidFill>
                    <w14:schemeClr w14:val="tx1"/>
                  </w14:solidFill>
                </w14:textFill>
              </w:rPr>
            </w:pPr>
            <w:r>
              <w:rPr>
                <w:rFonts w:hint="eastAsia" w:ascii="黑体" w:hAnsi="黑体" w:eastAsia="黑体"/>
                <w:bCs/>
                <w:color w:val="000000" w:themeColor="text1"/>
                <w:kern w:val="0"/>
                <w:sz w:val="18"/>
                <w:szCs w:val="18"/>
                <w14:textFill>
                  <w14:solidFill>
                    <w14:schemeClr w14:val="tx1"/>
                  </w14:solidFill>
                </w14:textFill>
              </w:rPr>
              <w:t>联系电话</w:t>
            </w:r>
          </w:p>
          <w:p w14:paraId="55A3E39C">
            <w:pPr>
              <w:spacing w:line="240" w:lineRule="auto"/>
              <w:jc w:val="center"/>
              <w:rPr>
                <w:rFonts w:ascii="黑体" w:hAnsi="黑体" w:eastAsia="黑体"/>
                <w:bCs/>
                <w:color w:val="000000" w:themeColor="text1"/>
                <w:kern w:val="0"/>
                <w:sz w:val="18"/>
                <w:szCs w:val="18"/>
                <w14:textFill>
                  <w14:solidFill>
                    <w14:schemeClr w14:val="tx1"/>
                  </w14:solidFill>
                </w14:textFill>
              </w:rPr>
            </w:pPr>
            <w:r>
              <w:rPr>
                <w:rFonts w:hint="eastAsia" w:ascii="黑体" w:hAnsi="黑体" w:eastAsia="黑体"/>
                <w:bCs/>
                <w:color w:val="000000" w:themeColor="text1"/>
                <w:kern w:val="0"/>
                <w:sz w:val="18"/>
                <w:szCs w:val="18"/>
                <w14:textFill>
                  <w14:solidFill>
                    <w14:schemeClr w14:val="tx1"/>
                  </w14:solidFill>
                </w14:textFill>
              </w:rPr>
              <w:t>（A角）</w:t>
            </w:r>
          </w:p>
        </w:tc>
        <w:tc>
          <w:tcPr>
            <w:tcW w:w="3194" w:type="dxa"/>
            <w:vAlign w:val="center"/>
          </w:tcPr>
          <w:p w14:paraId="0B5FB782">
            <w:pPr>
              <w:spacing w:line="240" w:lineRule="auto"/>
              <w:jc w:val="center"/>
              <w:rPr>
                <w:rFonts w:ascii="黑体" w:hAnsi="黑体" w:eastAsia="黑体"/>
                <w:bCs/>
                <w:color w:val="000000" w:themeColor="text1"/>
                <w:kern w:val="0"/>
                <w:sz w:val="18"/>
                <w:szCs w:val="18"/>
                <w14:textFill>
                  <w14:solidFill>
                    <w14:schemeClr w14:val="tx1"/>
                  </w14:solidFill>
                </w14:textFill>
              </w:rPr>
            </w:pPr>
            <w:r>
              <w:rPr>
                <w:rFonts w:hint="eastAsia" w:ascii="黑体" w:hAnsi="黑体" w:eastAsia="黑体"/>
                <w:bCs/>
                <w:color w:val="000000" w:themeColor="text1"/>
                <w:kern w:val="0"/>
                <w:sz w:val="18"/>
                <w:szCs w:val="18"/>
                <w14:textFill>
                  <w14:solidFill>
                    <w14:schemeClr w14:val="tx1"/>
                  </w14:solidFill>
                </w14:textFill>
              </w:rPr>
              <w:t>责任人</w:t>
            </w:r>
          </w:p>
          <w:p w14:paraId="720FB5EA">
            <w:pPr>
              <w:spacing w:line="240" w:lineRule="auto"/>
              <w:jc w:val="center"/>
              <w:rPr>
                <w:rFonts w:ascii="黑体" w:hAnsi="黑体" w:eastAsia="黑体"/>
                <w:bCs/>
                <w:color w:val="000000" w:themeColor="text1"/>
                <w:kern w:val="0"/>
                <w:sz w:val="18"/>
                <w:szCs w:val="18"/>
                <w14:textFill>
                  <w14:solidFill>
                    <w14:schemeClr w14:val="tx1"/>
                  </w14:solidFill>
                </w14:textFill>
              </w:rPr>
            </w:pPr>
            <w:r>
              <w:rPr>
                <w:rFonts w:hint="eastAsia" w:ascii="黑体" w:hAnsi="黑体" w:eastAsia="黑体"/>
                <w:bCs/>
                <w:color w:val="000000" w:themeColor="text1"/>
                <w:kern w:val="0"/>
                <w:sz w:val="18"/>
                <w:szCs w:val="18"/>
                <w14:textFill>
                  <w14:solidFill>
                    <w14:schemeClr w14:val="tx1"/>
                  </w14:solidFill>
                </w14:textFill>
              </w:rPr>
              <w:t>联系电话</w:t>
            </w:r>
          </w:p>
          <w:p w14:paraId="5FC2BAFB">
            <w:pPr>
              <w:spacing w:line="240" w:lineRule="auto"/>
              <w:jc w:val="center"/>
              <w:rPr>
                <w:rFonts w:ascii="黑体" w:hAnsi="黑体" w:eastAsia="黑体"/>
                <w:bCs/>
                <w:color w:val="000000" w:themeColor="text1"/>
                <w:kern w:val="0"/>
                <w:sz w:val="18"/>
                <w:szCs w:val="18"/>
                <w14:textFill>
                  <w14:solidFill>
                    <w14:schemeClr w14:val="tx1"/>
                  </w14:solidFill>
                </w14:textFill>
              </w:rPr>
            </w:pPr>
            <w:r>
              <w:rPr>
                <w:rFonts w:hint="eastAsia" w:ascii="黑体" w:hAnsi="黑体" w:eastAsia="黑体"/>
                <w:bCs/>
                <w:color w:val="000000" w:themeColor="text1"/>
                <w:kern w:val="0"/>
                <w:sz w:val="18"/>
                <w:szCs w:val="18"/>
                <w14:textFill>
                  <w14:solidFill>
                    <w14:schemeClr w14:val="tx1"/>
                  </w14:solidFill>
                </w14:textFill>
              </w:rPr>
              <w:t>（B角）</w:t>
            </w:r>
          </w:p>
        </w:tc>
      </w:tr>
      <w:tr w14:paraId="0898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9" w:type="dxa"/>
            <w:vAlign w:val="center"/>
          </w:tcPr>
          <w:p w14:paraId="36061D0A">
            <w:pPr>
              <w:spacing w:line="240" w:lineRule="auto"/>
              <w:jc w:val="center"/>
              <w:rPr>
                <w:rFonts w:ascii="黑体" w:hAnsi="黑体" w:eastAsia="黑体"/>
                <w:bCs/>
                <w:color w:val="000000" w:themeColor="text1"/>
                <w:kern w:val="0"/>
                <w:sz w:val="18"/>
                <w:szCs w:val="18"/>
                <w14:textFill>
                  <w14:solidFill>
                    <w14:schemeClr w14:val="tx1"/>
                  </w14:solidFill>
                </w14:textFill>
              </w:rPr>
            </w:pPr>
            <w:r>
              <w:rPr>
                <w:rFonts w:hint="eastAsia" w:ascii="黑体" w:hAnsi="黑体" w:eastAsia="黑体"/>
                <w:bCs/>
                <w:color w:val="000000" w:themeColor="text1"/>
                <w:kern w:val="0"/>
                <w:sz w:val="18"/>
                <w:szCs w:val="18"/>
                <w14:textFill>
                  <w14:solidFill>
                    <w14:schemeClr w14:val="tx1"/>
                  </w14:solidFill>
                </w14:textFill>
              </w:rPr>
              <w:t>网络维护员</w:t>
            </w:r>
          </w:p>
        </w:tc>
        <w:tc>
          <w:tcPr>
            <w:tcW w:w="3194" w:type="dxa"/>
            <w:vAlign w:val="center"/>
          </w:tcPr>
          <w:p w14:paraId="2394D1B1">
            <w:pPr>
              <w:spacing w:line="240" w:lineRule="auto"/>
              <w:jc w:val="center"/>
              <w:rPr>
                <w:rFonts w:ascii="黑体" w:hAnsi="黑体" w:eastAsia="黑体"/>
                <w:bCs/>
                <w:color w:val="000000" w:themeColor="text1"/>
                <w:kern w:val="0"/>
                <w:sz w:val="18"/>
                <w:szCs w:val="18"/>
                <w14:textFill>
                  <w14:solidFill>
                    <w14:schemeClr w14:val="tx1"/>
                  </w14:solidFill>
                </w14:textFill>
              </w:rPr>
            </w:pPr>
          </w:p>
        </w:tc>
        <w:tc>
          <w:tcPr>
            <w:tcW w:w="3194" w:type="dxa"/>
            <w:vAlign w:val="center"/>
          </w:tcPr>
          <w:p w14:paraId="1F3D2A9A">
            <w:pPr>
              <w:spacing w:line="240" w:lineRule="auto"/>
              <w:jc w:val="center"/>
              <w:rPr>
                <w:rFonts w:ascii="黑体" w:hAnsi="黑体" w:eastAsia="黑体"/>
                <w:bCs/>
                <w:color w:val="000000" w:themeColor="text1"/>
                <w:kern w:val="0"/>
                <w:sz w:val="18"/>
                <w:szCs w:val="18"/>
                <w14:textFill>
                  <w14:solidFill>
                    <w14:schemeClr w14:val="tx1"/>
                  </w14:solidFill>
                </w14:textFill>
              </w:rPr>
            </w:pPr>
          </w:p>
        </w:tc>
      </w:tr>
      <w:tr w14:paraId="0014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9" w:type="dxa"/>
            <w:vAlign w:val="center"/>
          </w:tcPr>
          <w:p w14:paraId="4BF9028B">
            <w:pPr>
              <w:spacing w:line="240" w:lineRule="auto"/>
              <w:jc w:val="center"/>
              <w:rPr>
                <w:rFonts w:ascii="黑体" w:hAnsi="黑体" w:eastAsia="黑体"/>
                <w:bCs/>
                <w:color w:val="000000" w:themeColor="text1"/>
                <w:kern w:val="0"/>
                <w:sz w:val="18"/>
                <w:szCs w:val="18"/>
                <w14:textFill>
                  <w14:solidFill>
                    <w14:schemeClr w14:val="tx1"/>
                  </w14:solidFill>
                </w14:textFill>
              </w:rPr>
            </w:pPr>
            <w:r>
              <w:rPr>
                <w:rFonts w:hint="eastAsia" w:ascii="黑体" w:hAnsi="黑体" w:eastAsia="黑体"/>
                <w:bCs/>
                <w:color w:val="000000" w:themeColor="text1"/>
                <w:kern w:val="0"/>
                <w:sz w:val="18"/>
                <w:szCs w:val="18"/>
                <w14:textFill>
                  <w14:solidFill>
                    <w14:schemeClr w14:val="tx1"/>
                  </w14:solidFill>
                </w14:textFill>
              </w:rPr>
              <w:t>计算机维护员</w:t>
            </w:r>
          </w:p>
        </w:tc>
        <w:tc>
          <w:tcPr>
            <w:tcW w:w="3194" w:type="dxa"/>
            <w:vAlign w:val="center"/>
          </w:tcPr>
          <w:p w14:paraId="2AE36FD4">
            <w:pPr>
              <w:spacing w:line="240" w:lineRule="auto"/>
              <w:jc w:val="center"/>
              <w:rPr>
                <w:rFonts w:ascii="黑体" w:hAnsi="黑体" w:eastAsia="黑体"/>
                <w:bCs/>
                <w:color w:val="000000" w:themeColor="text1"/>
                <w:kern w:val="0"/>
                <w:sz w:val="18"/>
                <w:szCs w:val="18"/>
                <w14:textFill>
                  <w14:solidFill>
                    <w14:schemeClr w14:val="tx1"/>
                  </w14:solidFill>
                </w14:textFill>
              </w:rPr>
            </w:pPr>
          </w:p>
        </w:tc>
        <w:tc>
          <w:tcPr>
            <w:tcW w:w="3194" w:type="dxa"/>
            <w:vAlign w:val="center"/>
          </w:tcPr>
          <w:p w14:paraId="7245EFFB">
            <w:pPr>
              <w:spacing w:line="240" w:lineRule="auto"/>
              <w:jc w:val="center"/>
              <w:rPr>
                <w:rFonts w:ascii="黑体" w:hAnsi="黑体" w:eastAsia="黑体"/>
                <w:bCs/>
                <w:color w:val="000000" w:themeColor="text1"/>
                <w:kern w:val="0"/>
                <w:sz w:val="18"/>
                <w:szCs w:val="18"/>
                <w14:textFill>
                  <w14:solidFill>
                    <w14:schemeClr w14:val="tx1"/>
                  </w14:solidFill>
                </w14:textFill>
              </w:rPr>
            </w:pPr>
          </w:p>
        </w:tc>
      </w:tr>
      <w:tr w14:paraId="76EE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9" w:type="dxa"/>
            <w:vAlign w:val="center"/>
          </w:tcPr>
          <w:p w14:paraId="26D2C9A2">
            <w:pPr>
              <w:spacing w:line="240" w:lineRule="auto"/>
              <w:jc w:val="center"/>
              <w:rPr>
                <w:rFonts w:ascii="黑体" w:hAnsi="黑体" w:eastAsia="黑体"/>
                <w:bCs/>
                <w:color w:val="000000" w:themeColor="text1"/>
                <w:kern w:val="0"/>
                <w:sz w:val="18"/>
                <w:szCs w:val="18"/>
                <w14:textFill>
                  <w14:solidFill>
                    <w14:schemeClr w14:val="tx1"/>
                  </w14:solidFill>
                </w14:textFill>
              </w:rPr>
            </w:pPr>
            <w:r>
              <w:rPr>
                <w:rFonts w:hint="eastAsia" w:ascii="黑体" w:hAnsi="黑体" w:eastAsia="黑体"/>
                <w:bCs/>
                <w:color w:val="000000" w:themeColor="text1"/>
                <w:kern w:val="0"/>
                <w:sz w:val="18"/>
                <w:szCs w:val="18"/>
                <w14:textFill>
                  <w14:solidFill>
                    <w14:schemeClr w14:val="tx1"/>
                  </w14:solidFill>
                </w14:textFill>
              </w:rPr>
              <w:t>机房维护员</w:t>
            </w:r>
          </w:p>
        </w:tc>
        <w:tc>
          <w:tcPr>
            <w:tcW w:w="3194" w:type="dxa"/>
            <w:vAlign w:val="center"/>
          </w:tcPr>
          <w:p w14:paraId="7F8E17AD">
            <w:pPr>
              <w:spacing w:line="240" w:lineRule="auto"/>
              <w:jc w:val="center"/>
              <w:rPr>
                <w:rFonts w:ascii="黑体" w:hAnsi="黑体" w:eastAsia="黑体"/>
                <w:bCs/>
                <w:color w:val="000000" w:themeColor="text1"/>
                <w:kern w:val="0"/>
                <w:sz w:val="18"/>
                <w:szCs w:val="18"/>
                <w14:textFill>
                  <w14:solidFill>
                    <w14:schemeClr w14:val="tx1"/>
                  </w14:solidFill>
                </w14:textFill>
              </w:rPr>
            </w:pPr>
          </w:p>
        </w:tc>
        <w:tc>
          <w:tcPr>
            <w:tcW w:w="3194" w:type="dxa"/>
            <w:vAlign w:val="center"/>
          </w:tcPr>
          <w:p w14:paraId="092F4ECC">
            <w:pPr>
              <w:spacing w:line="240" w:lineRule="auto"/>
              <w:jc w:val="center"/>
              <w:rPr>
                <w:rFonts w:ascii="黑体" w:hAnsi="黑体" w:eastAsia="黑体"/>
                <w:bCs/>
                <w:color w:val="000000" w:themeColor="text1"/>
                <w:kern w:val="0"/>
                <w:sz w:val="18"/>
                <w:szCs w:val="18"/>
                <w14:textFill>
                  <w14:solidFill>
                    <w14:schemeClr w14:val="tx1"/>
                  </w14:solidFill>
                </w14:textFill>
              </w:rPr>
            </w:pPr>
            <w:r>
              <w:rPr>
                <w:rFonts w:hint="eastAsia" w:ascii="黑体" w:hAnsi="黑体" w:eastAsia="黑体"/>
                <w:bCs/>
                <w:color w:val="000000" w:themeColor="text1"/>
                <w:kern w:val="0"/>
                <w:sz w:val="18"/>
                <w:szCs w:val="18"/>
                <w14:textFill>
                  <w14:solidFill>
                    <w14:schemeClr w14:val="tx1"/>
                  </w14:solidFill>
                </w14:textFill>
              </w:rPr>
              <w:t>...</w:t>
            </w:r>
          </w:p>
        </w:tc>
      </w:tr>
    </w:tbl>
    <w:p w14:paraId="3B9CD21D">
      <w:pPr>
        <w:pStyle w:val="26"/>
        <w:ind w:firstLine="420"/>
        <w:rPr>
          <w:rFonts w:hAnsi="宋体"/>
          <w:color w:val="000000" w:themeColor="text1"/>
          <w:szCs w:val="21"/>
          <w14:textFill>
            <w14:solidFill>
              <w14:schemeClr w14:val="tx1"/>
            </w14:solidFill>
          </w14:textFill>
        </w:rPr>
      </w:pPr>
    </w:p>
    <w:p w14:paraId="0A3567FF">
      <w:pPr>
        <w:pStyle w:val="23"/>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C.7.3 应急问题QA表</w:t>
      </w:r>
    </w:p>
    <w:p w14:paraId="3DE363B9">
      <w:pPr>
        <w:pStyle w:val="26"/>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应急问题QA表C3。</w:t>
      </w:r>
    </w:p>
    <w:p w14:paraId="577591FD">
      <w:pPr>
        <w:pStyle w:val="3"/>
        <w:spacing w:line="240" w:lineRule="auto"/>
        <w:jc w:val="center"/>
        <w:rPr>
          <w:rFonts w:ascii="黑体" w:hAnsi="黑体"/>
          <w:color w:val="000000" w:themeColor="text1"/>
          <w:sz w:val="21"/>
          <w:szCs w:val="21"/>
          <w14:textFill>
            <w14:solidFill>
              <w14:schemeClr w14:val="tx1"/>
            </w14:solidFill>
          </w14:textFill>
        </w:rPr>
      </w:pPr>
      <w:r>
        <w:rPr>
          <w:rFonts w:hint="eastAsia" w:ascii="黑体" w:hAnsi="黑体"/>
          <w:color w:val="000000" w:themeColor="text1"/>
          <w:sz w:val="21"/>
          <w:szCs w:val="21"/>
          <w14:textFill>
            <w14:solidFill>
              <w14:schemeClr w14:val="tx1"/>
            </w14:solidFill>
          </w14:textFill>
        </w:rPr>
        <w:t>表 C3 应急问题QA表</w:t>
      </w:r>
    </w:p>
    <w:tbl>
      <w:tblPr>
        <w:tblStyle w:val="15"/>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2835"/>
        <w:gridCol w:w="1417"/>
        <w:gridCol w:w="993"/>
        <w:gridCol w:w="903"/>
      </w:tblGrid>
      <w:tr w14:paraId="52AB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09" w:type="dxa"/>
            <w:vAlign w:val="center"/>
          </w:tcPr>
          <w:p w14:paraId="546E7252">
            <w:pPr>
              <w:spacing w:line="240" w:lineRule="auto"/>
              <w:jc w:val="center"/>
              <w:rPr>
                <w:rFonts w:ascii="黑体" w:hAnsi="黑体" w:eastAsia="黑体"/>
                <w:bCs/>
                <w:color w:val="000000" w:themeColor="text1"/>
                <w:kern w:val="0"/>
                <w:sz w:val="18"/>
                <w:szCs w:val="18"/>
                <w14:textFill>
                  <w14:solidFill>
                    <w14:schemeClr w14:val="tx1"/>
                  </w14:solidFill>
                </w14:textFill>
              </w:rPr>
            </w:pPr>
            <w:r>
              <w:rPr>
                <w:rFonts w:hint="eastAsia" w:ascii="黑体" w:hAnsi="黑体" w:eastAsia="黑体"/>
                <w:bCs/>
                <w:color w:val="000000" w:themeColor="text1"/>
                <w:kern w:val="0"/>
                <w:sz w:val="18"/>
                <w:szCs w:val="18"/>
                <w14:textFill>
                  <w14:solidFill>
                    <w14:schemeClr w14:val="tx1"/>
                  </w14:solidFill>
                </w14:textFill>
              </w:rPr>
              <w:t>序号</w:t>
            </w:r>
          </w:p>
        </w:tc>
        <w:tc>
          <w:tcPr>
            <w:tcW w:w="2268" w:type="dxa"/>
            <w:vAlign w:val="center"/>
          </w:tcPr>
          <w:p w14:paraId="2C24A4B5">
            <w:pPr>
              <w:spacing w:line="240" w:lineRule="auto"/>
              <w:jc w:val="center"/>
              <w:rPr>
                <w:rFonts w:ascii="黑体" w:hAnsi="黑体" w:eastAsia="黑体"/>
                <w:bCs/>
                <w:color w:val="000000" w:themeColor="text1"/>
                <w:kern w:val="0"/>
                <w:sz w:val="18"/>
                <w:szCs w:val="18"/>
                <w14:textFill>
                  <w14:solidFill>
                    <w14:schemeClr w14:val="tx1"/>
                  </w14:solidFill>
                </w14:textFill>
              </w:rPr>
            </w:pPr>
            <w:r>
              <w:rPr>
                <w:rFonts w:hint="eastAsia" w:ascii="黑体" w:hAnsi="黑体" w:eastAsia="黑体"/>
                <w:bCs/>
                <w:color w:val="000000" w:themeColor="text1"/>
                <w:kern w:val="0"/>
                <w:sz w:val="18"/>
                <w:szCs w:val="18"/>
                <w14:textFill>
                  <w14:solidFill>
                    <w14:schemeClr w14:val="tx1"/>
                  </w14:solidFill>
                </w14:textFill>
              </w:rPr>
              <w:t>问题描述Q</w:t>
            </w:r>
          </w:p>
        </w:tc>
        <w:tc>
          <w:tcPr>
            <w:tcW w:w="2835" w:type="dxa"/>
            <w:vAlign w:val="center"/>
          </w:tcPr>
          <w:p w14:paraId="14CF8355">
            <w:pPr>
              <w:spacing w:line="240" w:lineRule="auto"/>
              <w:jc w:val="center"/>
              <w:rPr>
                <w:rFonts w:ascii="黑体" w:hAnsi="黑体" w:eastAsia="黑体"/>
                <w:bCs/>
                <w:color w:val="000000" w:themeColor="text1"/>
                <w:kern w:val="0"/>
                <w:sz w:val="18"/>
                <w:szCs w:val="18"/>
                <w14:textFill>
                  <w14:solidFill>
                    <w14:schemeClr w14:val="tx1"/>
                  </w14:solidFill>
                </w14:textFill>
              </w:rPr>
            </w:pPr>
            <w:r>
              <w:rPr>
                <w:rFonts w:hint="eastAsia" w:ascii="黑体" w:hAnsi="黑体" w:eastAsia="黑体"/>
                <w:bCs/>
                <w:color w:val="000000" w:themeColor="text1"/>
                <w:kern w:val="0"/>
                <w:sz w:val="18"/>
                <w:szCs w:val="18"/>
                <w14:textFill>
                  <w14:solidFill>
                    <w14:schemeClr w14:val="tx1"/>
                  </w14:solidFill>
                </w14:textFill>
              </w:rPr>
              <w:t>解决方案A</w:t>
            </w:r>
          </w:p>
        </w:tc>
        <w:tc>
          <w:tcPr>
            <w:tcW w:w="1417" w:type="dxa"/>
            <w:vAlign w:val="center"/>
          </w:tcPr>
          <w:p w14:paraId="77EE039B">
            <w:pPr>
              <w:spacing w:line="240" w:lineRule="auto"/>
              <w:jc w:val="center"/>
              <w:rPr>
                <w:rFonts w:ascii="黑体" w:hAnsi="黑体" w:eastAsia="黑体"/>
                <w:bCs/>
                <w:color w:val="000000" w:themeColor="text1"/>
                <w:kern w:val="0"/>
                <w:sz w:val="18"/>
                <w:szCs w:val="18"/>
                <w14:textFill>
                  <w14:solidFill>
                    <w14:schemeClr w14:val="tx1"/>
                  </w14:solidFill>
                </w14:textFill>
              </w:rPr>
            </w:pPr>
            <w:r>
              <w:rPr>
                <w:rFonts w:hint="eastAsia" w:ascii="黑体" w:hAnsi="黑体" w:eastAsia="黑体"/>
                <w:bCs/>
                <w:color w:val="000000" w:themeColor="text1"/>
                <w:kern w:val="0"/>
                <w:sz w:val="18"/>
                <w:szCs w:val="18"/>
                <w14:textFill>
                  <w14:solidFill>
                    <w14:schemeClr w14:val="tx1"/>
                  </w14:solidFill>
                </w14:textFill>
              </w:rPr>
              <w:t>最后更新日期</w:t>
            </w:r>
          </w:p>
        </w:tc>
        <w:tc>
          <w:tcPr>
            <w:tcW w:w="993" w:type="dxa"/>
            <w:vAlign w:val="center"/>
          </w:tcPr>
          <w:p w14:paraId="010D4633">
            <w:pPr>
              <w:spacing w:line="240" w:lineRule="auto"/>
              <w:jc w:val="center"/>
              <w:rPr>
                <w:rFonts w:ascii="黑体" w:hAnsi="黑体" w:eastAsia="黑体"/>
                <w:bCs/>
                <w:color w:val="000000" w:themeColor="text1"/>
                <w:kern w:val="0"/>
                <w:sz w:val="18"/>
                <w:szCs w:val="18"/>
                <w14:textFill>
                  <w14:solidFill>
                    <w14:schemeClr w14:val="tx1"/>
                  </w14:solidFill>
                </w14:textFill>
              </w:rPr>
            </w:pPr>
            <w:r>
              <w:rPr>
                <w:rFonts w:hint="eastAsia" w:ascii="黑体" w:hAnsi="黑体" w:eastAsia="黑体"/>
                <w:bCs/>
                <w:color w:val="000000" w:themeColor="text1"/>
                <w:kern w:val="0"/>
                <w:sz w:val="18"/>
                <w:szCs w:val="18"/>
                <w14:textFill>
                  <w14:solidFill>
                    <w14:schemeClr w14:val="tx1"/>
                  </w14:solidFill>
                </w14:textFill>
              </w:rPr>
              <w:t>负责人</w:t>
            </w:r>
          </w:p>
        </w:tc>
        <w:tc>
          <w:tcPr>
            <w:tcW w:w="903" w:type="dxa"/>
            <w:vAlign w:val="center"/>
          </w:tcPr>
          <w:p w14:paraId="754AD3C9">
            <w:pPr>
              <w:spacing w:line="240" w:lineRule="auto"/>
              <w:jc w:val="center"/>
              <w:rPr>
                <w:rFonts w:ascii="黑体" w:hAnsi="黑体" w:eastAsia="黑体"/>
                <w:bCs/>
                <w:color w:val="000000" w:themeColor="text1"/>
                <w:kern w:val="0"/>
                <w:sz w:val="18"/>
                <w:szCs w:val="18"/>
                <w14:textFill>
                  <w14:solidFill>
                    <w14:schemeClr w14:val="tx1"/>
                  </w14:solidFill>
                </w14:textFill>
              </w:rPr>
            </w:pPr>
            <w:r>
              <w:rPr>
                <w:rFonts w:hint="eastAsia" w:ascii="黑体" w:hAnsi="黑体" w:eastAsia="黑体"/>
                <w:bCs/>
                <w:color w:val="000000" w:themeColor="text1"/>
                <w:kern w:val="0"/>
                <w:sz w:val="18"/>
                <w:szCs w:val="18"/>
                <w14:textFill>
                  <w14:solidFill>
                    <w14:schemeClr w14:val="tx1"/>
                  </w14:solidFill>
                </w14:textFill>
              </w:rPr>
              <w:t>状态</w:t>
            </w:r>
          </w:p>
        </w:tc>
      </w:tr>
      <w:tr w14:paraId="4BBB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09" w:type="dxa"/>
            <w:vAlign w:val="center"/>
          </w:tcPr>
          <w:p w14:paraId="2413E815">
            <w:pPr>
              <w:spacing w:line="240" w:lineRule="auto"/>
              <w:jc w:val="center"/>
              <w:rPr>
                <w:rFonts w:ascii="黑体" w:hAnsi="黑体" w:eastAsia="黑体"/>
                <w:bCs/>
                <w:color w:val="000000" w:themeColor="text1"/>
                <w:kern w:val="0"/>
                <w:sz w:val="18"/>
                <w:szCs w:val="18"/>
                <w14:textFill>
                  <w14:solidFill>
                    <w14:schemeClr w14:val="tx1"/>
                  </w14:solidFill>
                </w14:textFill>
              </w:rPr>
            </w:pPr>
            <w:r>
              <w:rPr>
                <w:rFonts w:hint="eastAsia" w:ascii="黑体" w:hAnsi="黑体" w:eastAsia="黑体"/>
                <w:bCs/>
                <w:color w:val="000000" w:themeColor="text1"/>
                <w:kern w:val="0"/>
                <w:sz w:val="18"/>
                <w:szCs w:val="18"/>
                <w14:textFill>
                  <w14:solidFill>
                    <w14:schemeClr w14:val="tx1"/>
                  </w14:solidFill>
                </w14:textFill>
              </w:rPr>
              <w:t>1</w:t>
            </w:r>
          </w:p>
        </w:tc>
        <w:tc>
          <w:tcPr>
            <w:tcW w:w="2268" w:type="dxa"/>
            <w:vAlign w:val="center"/>
          </w:tcPr>
          <w:p w14:paraId="2ABB3304">
            <w:pPr>
              <w:spacing w:line="240" w:lineRule="auto"/>
              <w:jc w:val="center"/>
              <w:rPr>
                <w:rFonts w:ascii="黑体" w:hAnsi="黑体" w:eastAsia="黑体"/>
                <w:bCs/>
                <w:color w:val="000000" w:themeColor="text1"/>
                <w:kern w:val="0"/>
                <w:sz w:val="18"/>
                <w:szCs w:val="18"/>
                <w14:textFill>
                  <w14:solidFill>
                    <w14:schemeClr w14:val="tx1"/>
                  </w14:solidFill>
                </w14:textFill>
              </w:rPr>
            </w:pPr>
          </w:p>
        </w:tc>
        <w:tc>
          <w:tcPr>
            <w:tcW w:w="2835" w:type="dxa"/>
            <w:vAlign w:val="center"/>
          </w:tcPr>
          <w:p w14:paraId="6AA0DB92">
            <w:pPr>
              <w:spacing w:line="240" w:lineRule="auto"/>
              <w:jc w:val="center"/>
              <w:rPr>
                <w:rFonts w:ascii="黑体" w:hAnsi="黑体" w:eastAsia="黑体"/>
                <w:bCs/>
                <w:color w:val="000000" w:themeColor="text1"/>
                <w:kern w:val="0"/>
                <w:sz w:val="18"/>
                <w:szCs w:val="18"/>
                <w14:textFill>
                  <w14:solidFill>
                    <w14:schemeClr w14:val="tx1"/>
                  </w14:solidFill>
                </w14:textFill>
              </w:rPr>
            </w:pPr>
          </w:p>
        </w:tc>
        <w:tc>
          <w:tcPr>
            <w:tcW w:w="1417" w:type="dxa"/>
            <w:vAlign w:val="center"/>
          </w:tcPr>
          <w:p w14:paraId="381455F1">
            <w:pPr>
              <w:spacing w:line="240" w:lineRule="auto"/>
              <w:jc w:val="center"/>
              <w:rPr>
                <w:rFonts w:ascii="黑体" w:hAnsi="黑体" w:eastAsia="黑体"/>
                <w:bCs/>
                <w:color w:val="000000" w:themeColor="text1"/>
                <w:kern w:val="0"/>
                <w:sz w:val="18"/>
                <w:szCs w:val="18"/>
                <w14:textFill>
                  <w14:solidFill>
                    <w14:schemeClr w14:val="tx1"/>
                  </w14:solidFill>
                </w14:textFill>
              </w:rPr>
            </w:pPr>
          </w:p>
        </w:tc>
        <w:tc>
          <w:tcPr>
            <w:tcW w:w="993" w:type="dxa"/>
            <w:vAlign w:val="center"/>
          </w:tcPr>
          <w:p w14:paraId="7F31D996">
            <w:pPr>
              <w:spacing w:line="240" w:lineRule="auto"/>
              <w:jc w:val="center"/>
              <w:rPr>
                <w:rFonts w:ascii="黑体" w:hAnsi="黑体" w:eastAsia="黑体"/>
                <w:bCs/>
                <w:color w:val="000000" w:themeColor="text1"/>
                <w:kern w:val="0"/>
                <w:sz w:val="18"/>
                <w:szCs w:val="18"/>
                <w14:textFill>
                  <w14:solidFill>
                    <w14:schemeClr w14:val="tx1"/>
                  </w14:solidFill>
                </w14:textFill>
              </w:rPr>
            </w:pPr>
          </w:p>
        </w:tc>
        <w:tc>
          <w:tcPr>
            <w:tcW w:w="903" w:type="dxa"/>
            <w:vAlign w:val="center"/>
          </w:tcPr>
          <w:p w14:paraId="367543EF">
            <w:pPr>
              <w:spacing w:line="240" w:lineRule="auto"/>
              <w:jc w:val="center"/>
              <w:rPr>
                <w:rFonts w:ascii="黑体" w:hAnsi="黑体" w:eastAsia="黑体"/>
                <w:bCs/>
                <w:color w:val="000000" w:themeColor="text1"/>
                <w:kern w:val="0"/>
                <w:sz w:val="18"/>
                <w:szCs w:val="18"/>
                <w14:textFill>
                  <w14:solidFill>
                    <w14:schemeClr w14:val="tx1"/>
                  </w14:solidFill>
                </w14:textFill>
              </w:rPr>
            </w:pPr>
          </w:p>
        </w:tc>
      </w:tr>
      <w:tr w14:paraId="08EE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09" w:type="dxa"/>
            <w:vAlign w:val="center"/>
          </w:tcPr>
          <w:p w14:paraId="026B588B">
            <w:pPr>
              <w:spacing w:line="240" w:lineRule="auto"/>
              <w:jc w:val="center"/>
              <w:rPr>
                <w:rFonts w:ascii="黑体" w:hAnsi="黑体" w:eastAsia="黑体"/>
                <w:bCs/>
                <w:color w:val="000000" w:themeColor="text1"/>
                <w:kern w:val="0"/>
                <w:sz w:val="18"/>
                <w:szCs w:val="18"/>
                <w14:textFill>
                  <w14:solidFill>
                    <w14:schemeClr w14:val="tx1"/>
                  </w14:solidFill>
                </w14:textFill>
              </w:rPr>
            </w:pPr>
            <w:r>
              <w:rPr>
                <w:rFonts w:hint="eastAsia" w:ascii="黑体" w:hAnsi="黑体" w:eastAsia="黑体"/>
                <w:bCs/>
                <w:color w:val="000000" w:themeColor="text1"/>
                <w:kern w:val="0"/>
                <w:sz w:val="18"/>
                <w:szCs w:val="18"/>
                <w14:textFill>
                  <w14:solidFill>
                    <w14:schemeClr w14:val="tx1"/>
                  </w14:solidFill>
                </w14:textFill>
              </w:rPr>
              <w:t>2</w:t>
            </w:r>
          </w:p>
        </w:tc>
        <w:tc>
          <w:tcPr>
            <w:tcW w:w="2268" w:type="dxa"/>
            <w:vAlign w:val="center"/>
          </w:tcPr>
          <w:p w14:paraId="6B307E05">
            <w:pPr>
              <w:spacing w:line="240" w:lineRule="auto"/>
              <w:jc w:val="center"/>
              <w:rPr>
                <w:rFonts w:ascii="黑体" w:hAnsi="黑体" w:eastAsia="黑体"/>
                <w:bCs/>
                <w:color w:val="000000" w:themeColor="text1"/>
                <w:kern w:val="0"/>
                <w:sz w:val="18"/>
                <w:szCs w:val="18"/>
                <w14:textFill>
                  <w14:solidFill>
                    <w14:schemeClr w14:val="tx1"/>
                  </w14:solidFill>
                </w14:textFill>
              </w:rPr>
            </w:pPr>
          </w:p>
        </w:tc>
        <w:tc>
          <w:tcPr>
            <w:tcW w:w="2835" w:type="dxa"/>
            <w:vAlign w:val="center"/>
          </w:tcPr>
          <w:p w14:paraId="3E5F887E">
            <w:pPr>
              <w:spacing w:line="240" w:lineRule="auto"/>
              <w:jc w:val="center"/>
              <w:rPr>
                <w:rFonts w:ascii="黑体" w:hAnsi="黑体" w:eastAsia="黑体"/>
                <w:bCs/>
                <w:color w:val="000000" w:themeColor="text1"/>
                <w:kern w:val="0"/>
                <w:sz w:val="18"/>
                <w:szCs w:val="18"/>
                <w14:textFill>
                  <w14:solidFill>
                    <w14:schemeClr w14:val="tx1"/>
                  </w14:solidFill>
                </w14:textFill>
              </w:rPr>
            </w:pPr>
          </w:p>
        </w:tc>
        <w:tc>
          <w:tcPr>
            <w:tcW w:w="1417" w:type="dxa"/>
            <w:vAlign w:val="center"/>
          </w:tcPr>
          <w:p w14:paraId="7204324C">
            <w:pPr>
              <w:spacing w:line="240" w:lineRule="auto"/>
              <w:jc w:val="center"/>
              <w:rPr>
                <w:rFonts w:ascii="黑体" w:hAnsi="黑体" w:eastAsia="黑体"/>
                <w:bCs/>
                <w:color w:val="000000" w:themeColor="text1"/>
                <w:kern w:val="0"/>
                <w:sz w:val="18"/>
                <w:szCs w:val="18"/>
                <w14:textFill>
                  <w14:solidFill>
                    <w14:schemeClr w14:val="tx1"/>
                  </w14:solidFill>
                </w14:textFill>
              </w:rPr>
            </w:pPr>
          </w:p>
        </w:tc>
        <w:tc>
          <w:tcPr>
            <w:tcW w:w="993" w:type="dxa"/>
            <w:vAlign w:val="center"/>
          </w:tcPr>
          <w:p w14:paraId="260A765C">
            <w:pPr>
              <w:spacing w:line="240" w:lineRule="auto"/>
              <w:jc w:val="center"/>
              <w:rPr>
                <w:rFonts w:ascii="黑体" w:hAnsi="黑体" w:eastAsia="黑体"/>
                <w:bCs/>
                <w:color w:val="000000" w:themeColor="text1"/>
                <w:kern w:val="0"/>
                <w:sz w:val="18"/>
                <w:szCs w:val="18"/>
                <w14:textFill>
                  <w14:solidFill>
                    <w14:schemeClr w14:val="tx1"/>
                  </w14:solidFill>
                </w14:textFill>
              </w:rPr>
            </w:pPr>
          </w:p>
        </w:tc>
        <w:tc>
          <w:tcPr>
            <w:tcW w:w="903" w:type="dxa"/>
            <w:vAlign w:val="center"/>
          </w:tcPr>
          <w:p w14:paraId="7A6B7EDC">
            <w:pPr>
              <w:spacing w:line="240" w:lineRule="auto"/>
              <w:jc w:val="center"/>
              <w:rPr>
                <w:rFonts w:ascii="黑体" w:hAnsi="黑体" w:eastAsia="黑体"/>
                <w:bCs/>
                <w:color w:val="000000" w:themeColor="text1"/>
                <w:kern w:val="0"/>
                <w:sz w:val="18"/>
                <w:szCs w:val="18"/>
                <w14:textFill>
                  <w14:solidFill>
                    <w14:schemeClr w14:val="tx1"/>
                  </w14:solidFill>
                </w14:textFill>
              </w:rPr>
            </w:pPr>
          </w:p>
        </w:tc>
      </w:tr>
      <w:tr w14:paraId="0A24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09" w:type="dxa"/>
            <w:vAlign w:val="center"/>
          </w:tcPr>
          <w:p w14:paraId="49DB4521">
            <w:pPr>
              <w:spacing w:line="240" w:lineRule="auto"/>
              <w:jc w:val="center"/>
              <w:rPr>
                <w:rFonts w:ascii="黑体" w:hAnsi="黑体" w:eastAsia="黑体"/>
                <w:bCs/>
                <w:color w:val="000000" w:themeColor="text1"/>
                <w:kern w:val="0"/>
                <w:sz w:val="18"/>
                <w:szCs w:val="18"/>
                <w14:textFill>
                  <w14:solidFill>
                    <w14:schemeClr w14:val="tx1"/>
                  </w14:solidFill>
                </w14:textFill>
              </w:rPr>
            </w:pPr>
            <w:r>
              <w:rPr>
                <w:rFonts w:hint="eastAsia" w:ascii="黑体" w:hAnsi="黑体" w:eastAsia="黑体"/>
                <w:bCs/>
                <w:color w:val="000000" w:themeColor="text1"/>
                <w:kern w:val="0"/>
                <w:sz w:val="18"/>
                <w:szCs w:val="18"/>
                <w14:textFill>
                  <w14:solidFill>
                    <w14:schemeClr w14:val="tx1"/>
                  </w14:solidFill>
                </w14:textFill>
              </w:rPr>
              <w:t>3</w:t>
            </w:r>
          </w:p>
        </w:tc>
        <w:tc>
          <w:tcPr>
            <w:tcW w:w="2268" w:type="dxa"/>
            <w:vAlign w:val="center"/>
          </w:tcPr>
          <w:p w14:paraId="7BF7D329">
            <w:pPr>
              <w:spacing w:line="240" w:lineRule="auto"/>
              <w:jc w:val="center"/>
              <w:rPr>
                <w:rFonts w:ascii="黑体" w:hAnsi="黑体" w:eastAsia="黑体"/>
                <w:bCs/>
                <w:color w:val="000000" w:themeColor="text1"/>
                <w:kern w:val="0"/>
                <w:sz w:val="18"/>
                <w:szCs w:val="18"/>
                <w14:textFill>
                  <w14:solidFill>
                    <w14:schemeClr w14:val="tx1"/>
                  </w14:solidFill>
                </w14:textFill>
              </w:rPr>
            </w:pPr>
          </w:p>
        </w:tc>
        <w:tc>
          <w:tcPr>
            <w:tcW w:w="2835" w:type="dxa"/>
            <w:vAlign w:val="center"/>
          </w:tcPr>
          <w:p w14:paraId="6D6CB35E">
            <w:pPr>
              <w:spacing w:line="240" w:lineRule="auto"/>
              <w:jc w:val="center"/>
              <w:rPr>
                <w:rFonts w:ascii="黑体" w:hAnsi="黑体" w:eastAsia="黑体"/>
                <w:bCs/>
                <w:color w:val="000000" w:themeColor="text1"/>
                <w:kern w:val="0"/>
                <w:sz w:val="18"/>
                <w:szCs w:val="18"/>
                <w14:textFill>
                  <w14:solidFill>
                    <w14:schemeClr w14:val="tx1"/>
                  </w14:solidFill>
                </w14:textFill>
              </w:rPr>
            </w:pPr>
          </w:p>
        </w:tc>
        <w:tc>
          <w:tcPr>
            <w:tcW w:w="1417" w:type="dxa"/>
            <w:vAlign w:val="center"/>
          </w:tcPr>
          <w:p w14:paraId="7E2A1781">
            <w:pPr>
              <w:spacing w:line="240" w:lineRule="auto"/>
              <w:jc w:val="center"/>
              <w:rPr>
                <w:rFonts w:ascii="黑体" w:hAnsi="黑体" w:eastAsia="黑体"/>
                <w:bCs/>
                <w:color w:val="000000" w:themeColor="text1"/>
                <w:kern w:val="0"/>
                <w:sz w:val="18"/>
                <w:szCs w:val="18"/>
                <w14:textFill>
                  <w14:solidFill>
                    <w14:schemeClr w14:val="tx1"/>
                  </w14:solidFill>
                </w14:textFill>
              </w:rPr>
            </w:pPr>
          </w:p>
        </w:tc>
        <w:tc>
          <w:tcPr>
            <w:tcW w:w="993" w:type="dxa"/>
            <w:vAlign w:val="center"/>
          </w:tcPr>
          <w:p w14:paraId="2FD4A188">
            <w:pPr>
              <w:spacing w:line="240" w:lineRule="auto"/>
              <w:jc w:val="center"/>
              <w:rPr>
                <w:rFonts w:ascii="黑体" w:hAnsi="黑体" w:eastAsia="黑体"/>
                <w:bCs/>
                <w:color w:val="000000" w:themeColor="text1"/>
                <w:kern w:val="0"/>
                <w:sz w:val="18"/>
                <w:szCs w:val="18"/>
                <w14:textFill>
                  <w14:solidFill>
                    <w14:schemeClr w14:val="tx1"/>
                  </w14:solidFill>
                </w14:textFill>
              </w:rPr>
            </w:pPr>
          </w:p>
        </w:tc>
        <w:tc>
          <w:tcPr>
            <w:tcW w:w="903" w:type="dxa"/>
            <w:vAlign w:val="center"/>
          </w:tcPr>
          <w:p w14:paraId="0B45A704">
            <w:pPr>
              <w:spacing w:line="240" w:lineRule="auto"/>
              <w:jc w:val="center"/>
              <w:rPr>
                <w:rFonts w:ascii="黑体" w:hAnsi="黑体" w:eastAsia="黑体"/>
                <w:bCs/>
                <w:color w:val="000000" w:themeColor="text1"/>
                <w:kern w:val="0"/>
                <w:sz w:val="18"/>
                <w:szCs w:val="18"/>
                <w14:textFill>
                  <w14:solidFill>
                    <w14:schemeClr w14:val="tx1"/>
                  </w14:solidFill>
                </w14:textFill>
              </w:rPr>
            </w:pPr>
          </w:p>
        </w:tc>
      </w:tr>
    </w:tbl>
    <w:p w14:paraId="4756967C">
      <w:pPr>
        <w:jc w:val="left"/>
        <w:rPr>
          <w:color w:val="000000" w:themeColor="text1"/>
          <w:sz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auto"/>
    <w:pitch w:val="default"/>
    <w:sig w:usb0="00000000" w:usb1="00000000" w:usb2="00000010" w:usb3="00000000" w:csb0="00000000" w:csb1="00000000"/>
  </w:font>
  <w:font w:name="PingFang SC">
    <w:altName w:val="宋体"/>
    <w:panose1 w:val="00000000000000000000"/>
    <w:charset w:val="86"/>
    <w:family w:val="auto"/>
    <w:pitch w:val="default"/>
    <w:sig w:usb0="00000000" w:usb1="00000000" w:usb2="00000017" w:usb3="00000000" w:csb0="00040001"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4442492"/>
    </w:sdtPr>
    <w:sdtContent>
      <w:p w14:paraId="7A62F701">
        <w:pPr>
          <w:pStyle w:val="8"/>
          <w:jc w:val="right"/>
        </w:pPr>
        <w:r>
          <w:fldChar w:fldCharType="begin"/>
        </w:r>
        <w:r>
          <w:instrText xml:space="preserve">PAGE   \* MERGEFORMAT</w:instrText>
        </w:r>
        <w:r>
          <w:fldChar w:fldCharType="separate"/>
        </w:r>
        <w:r>
          <w:rPr>
            <w:lang w:val="zh-CN"/>
          </w:rPr>
          <w:t>23</w:t>
        </w:r>
        <w:r>
          <w:fldChar w:fldCharType="end"/>
        </w:r>
      </w:p>
    </w:sdtContent>
  </w:sdt>
  <w:p w14:paraId="41AADF18">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57189B5C">
        <w:pPr>
          <w:pStyle w:val="8"/>
        </w:pPr>
        <w:r>
          <w:fldChar w:fldCharType="begin"/>
        </w:r>
        <w:r>
          <w:instrText xml:space="preserve">PAGE   \* MERGEFORMAT</w:instrText>
        </w:r>
        <w:r>
          <w:fldChar w:fldCharType="separate"/>
        </w:r>
        <w:r>
          <w:rPr>
            <w:lang w:val="zh-CN"/>
          </w:rPr>
          <w:t>II</w:t>
        </w:r>
        <w:r>
          <w:fldChar w:fldCharType="end"/>
        </w:r>
      </w:p>
    </w:sdtContent>
  </w:sdt>
  <w:p w14:paraId="660CEC6A">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8CE11">
    <w:pPr>
      <w:pStyle w:val="8"/>
      <w:jc w:val="right"/>
    </w:pPr>
  </w:p>
  <w:p w14:paraId="44F66886">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0F36D">
    <w:pPr>
      <w:pStyle w:val="8"/>
      <w:jc w:val="right"/>
    </w:pPr>
  </w:p>
  <w:p w14:paraId="5C076A5F">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314770"/>
    </w:sdtPr>
    <w:sdtContent>
      <w:p w14:paraId="1DEB9DBB">
        <w:pPr>
          <w:pStyle w:val="8"/>
        </w:pPr>
        <w:r>
          <w:fldChar w:fldCharType="begin"/>
        </w:r>
        <w:r>
          <w:instrText xml:space="preserve">PAGE   \* MERGEFORMAT</w:instrText>
        </w:r>
        <w:r>
          <w:fldChar w:fldCharType="separate"/>
        </w:r>
        <w:r>
          <w:rPr>
            <w:lang w:val="zh-CN"/>
          </w:rPr>
          <w:t>30</w:t>
        </w:r>
        <w:r>
          <w:fldChar w:fldCharType="end"/>
        </w:r>
      </w:p>
    </w:sdtContent>
  </w:sdt>
  <w:p w14:paraId="730EC6C1">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EB52D">
    <w:pPr>
      <w:pStyle w:val="9"/>
      <w:jc w:val="right"/>
      <w:rPr>
        <w:sz w:val="13"/>
        <w:szCs w:val="13"/>
      </w:rPr>
    </w:pPr>
    <w:r>
      <w:rPr>
        <w:rFonts w:ascii="黑体"/>
        <w:bCs/>
        <w:sz w:val="21"/>
        <w:szCs w:val="13"/>
      </w:rPr>
      <w:t>CJ</w:t>
    </w:r>
    <w:r>
      <w:rPr>
        <w:rFonts w:hint="eastAsia" w:ascii="黑体"/>
        <w:bCs/>
        <w:sz w:val="21"/>
        <w:szCs w:val="13"/>
      </w:rPr>
      <w:t>/T XXXXX-</w:t>
    </w:r>
    <w:r>
      <w:rPr>
        <w:rFonts w:hint="eastAsia" w:ascii="黑体"/>
        <w:bCs/>
        <w:sz w:val="21"/>
        <w:szCs w:val="13"/>
        <w:lang w:val="en-US" w:eastAsia="zh-CN"/>
      </w:rPr>
      <w:t>202</w:t>
    </w:r>
    <w:r>
      <w:rPr>
        <w:rFonts w:hint="eastAsia" w:ascii="黑体"/>
        <w:bCs/>
        <w:sz w:val="21"/>
        <w:szCs w:val="13"/>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932EF">
    <w:pPr>
      <w:pStyle w:val="9"/>
      <w:jc w:val="left"/>
      <w:rPr>
        <w:rFonts w:ascii="黑体" w:hAnsi="黑体" w:eastAsia="黑体"/>
        <w:sz w:val="21"/>
        <w:szCs w:val="21"/>
      </w:rPr>
    </w:pPr>
    <w:r>
      <w:rPr>
        <w:rFonts w:ascii="黑体" w:hAnsi="黑体" w:eastAsia="黑体"/>
        <w:sz w:val="21"/>
        <w:szCs w:val="21"/>
      </w:rPr>
      <w:t>CJ/T XXXXX-</w:t>
    </w:r>
    <w:r>
      <w:rPr>
        <w:rFonts w:hint="eastAsia" w:ascii="黑体" w:hAnsi="黑体" w:eastAsia="黑体"/>
        <w:sz w:val="21"/>
        <w:szCs w:val="21"/>
        <w:lang w:val="en-US" w:eastAsia="zh-CN"/>
      </w:rPr>
      <w:t>202</w:t>
    </w:r>
    <w:r>
      <w:rPr>
        <w:rFonts w:ascii="黑体" w:hAnsi="黑体" w:eastAsia="黑体"/>
        <w:sz w:val="21"/>
        <w:szCs w:val="21"/>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8A26A">
    <w:pPr>
      <w:pStyle w:val="9"/>
      <w:jc w:val="right"/>
      <w:rPr>
        <w:rFonts w:ascii="黑体" w:hAnsi="黑体" w:eastAsia="黑体"/>
        <w:sz w:val="21"/>
        <w:szCs w:val="21"/>
      </w:rPr>
    </w:pPr>
    <w:r>
      <w:rPr>
        <w:rFonts w:ascii="黑体" w:hAnsi="黑体" w:eastAsia="黑体"/>
        <w:sz w:val="21"/>
        <w:szCs w:val="21"/>
      </w:rPr>
      <w:t>CJ/T XXXXX-</w:t>
    </w:r>
    <w:r>
      <w:rPr>
        <w:rFonts w:hint="eastAsia" w:ascii="黑体" w:hAnsi="黑体" w:eastAsia="黑体"/>
        <w:sz w:val="21"/>
        <w:szCs w:val="21"/>
        <w:lang w:val="en-US" w:eastAsia="zh-CN"/>
      </w:rPr>
      <w:t>202</w:t>
    </w:r>
    <w:r>
      <w:rPr>
        <w:rFonts w:ascii="黑体" w:hAnsi="黑体" w:eastAsia="黑体"/>
        <w:sz w:val="21"/>
        <w:szCs w:val="21"/>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A01FE"/>
    <w:multiLevelType w:val="multilevel"/>
    <w:tmpl w:val="A63A01FE"/>
    <w:lvl w:ilvl="0" w:tentative="0">
      <w:start w:val="1"/>
      <w:numFmt w:val="lowerLetter"/>
      <w:lvlText w:val="%1)"/>
      <w:lvlJc w:val="left"/>
      <w:pPr>
        <w:ind w:left="862" w:hanging="442"/>
      </w:pPr>
      <w:rPr>
        <w:rFonts w:hint="default"/>
      </w:rPr>
    </w:lvl>
    <w:lvl w:ilvl="1" w:tentative="0">
      <w:start w:val="1"/>
      <w:numFmt w:val="lowerLetter"/>
      <w:lvlText w:val="%2)"/>
      <w:lvlJc w:val="left"/>
      <w:pPr>
        <w:ind w:left="1720" w:hanging="440"/>
      </w:pPr>
      <w:rPr>
        <w:rFonts w:hint="eastAsia"/>
      </w:rPr>
    </w:lvl>
    <w:lvl w:ilvl="2" w:tentative="0">
      <w:start w:val="1"/>
      <w:numFmt w:val="lowerRoman"/>
      <w:lvlText w:val="%3."/>
      <w:lvlJc w:val="right"/>
      <w:pPr>
        <w:ind w:left="2160" w:hanging="440"/>
      </w:pPr>
      <w:rPr>
        <w:rFonts w:hint="eastAsia"/>
      </w:rPr>
    </w:lvl>
    <w:lvl w:ilvl="3" w:tentative="0">
      <w:start w:val="1"/>
      <w:numFmt w:val="decimal"/>
      <w:lvlText w:val="%4."/>
      <w:lvlJc w:val="left"/>
      <w:pPr>
        <w:ind w:left="2600" w:hanging="440"/>
      </w:pPr>
      <w:rPr>
        <w:rFonts w:hint="eastAsia"/>
      </w:rPr>
    </w:lvl>
    <w:lvl w:ilvl="4" w:tentative="0">
      <w:start w:val="1"/>
      <w:numFmt w:val="lowerLetter"/>
      <w:lvlText w:val="%5)"/>
      <w:lvlJc w:val="left"/>
      <w:pPr>
        <w:ind w:left="3040" w:hanging="440"/>
      </w:pPr>
      <w:rPr>
        <w:rFonts w:hint="eastAsia"/>
      </w:rPr>
    </w:lvl>
    <w:lvl w:ilvl="5" w:tentative="0">
      <w:start w:val="1"/>
      <w:numFmt w:val="lowerRoman"/>
      <w:lvlText w:val="%6."/>
      <w:lvlJc w:val="right"/>
      <w:pPr>
        <w:ind w:left="3480" w:hanging="440"/>
      </w:pPr>
      <w:rPr>
        <w:rFonts w:hint="eastAsia"/>
      </w:rPr>
    </w:lvl>
    <w:lvl w:ilvl="6" w:tentative="0">
      <w:start w:val="1"/>
      <w:numFmt w:val="decimal"/>
      <w:lvlText w:val="%7."/>
      <w:lvlJc w:val="left"/>
      <w:pPr>
        <w:ind w:left="3920" w:hanging="440"/>
      </w:pPr>
      <w:rPr>
        <w:rFonts w:hint="eastAsia"/>
      </w:rPr>
    </w:lvl>
    <w:lvl w:ilvl="7" w:tentative="0">
      <w:start w:val="1"/>
      <w:numFmt w:val="lowerLetter"/>
      <w:lvlText w:val="%8)"/>
      <w:lvlJc w:val="left"/>
      <w:pPr>
        <w:ind w:left="4360" w:hanging="440"/>
      </w:pPr>
      <w:rPr>
        <w:rFonts w:hint="eastAsia"/>
      </w:rPr>
    </w:lvl>
    <w:lvl w:ilvl="8" w:tentative="0">
      <w:start w:val="1"/>
      <w:numFmt w:val="lowerRoman"/>
      <w:lvlText w:val="%9."/>
      <w:lvlJc w:val="right"/>
      <w:pPr>
        <w:ind w:left="4800" w:hanging="440"/>
      </w:pPr>
      <w:rPr>
        <w:rFonts w:hint="eastAsia"/>
      </w:rPr>
    </w:lvl>
  </w:abstractNum>
  <w:abstractNum w:abstractNumId="1">
    <w:nsid w:val="D82A9505"/>
    <w:multiLevelType w:val="multilevel"/>
    <w:tmpl w:val="D82A9505"/>
    <w:lvl w:ilvl="0" w:tentative="0">
      <w:start w:val="1"/>
      <w:numFmt w:val="lowerLetter"/>
      <w:lvlText w:val="%1)"/>
      <w:lvlJc w:val="left"/>
      <w:pPr>
        <w:ind w:left="862" w:hanging="442"/>
      </w:pPr>
      <w:rPr>
        <w:rFonts w:hint="default"/>
      </w:rPr>
    </w:lvl>
    <w:lvl w:ilvl="1" w:tentative="0">
      <w:start w:val="1"/>
      <w:numFmt w:val="lowerLetter"/>
      <w:lvlText w:val="%2)"/>
      <w:lvlJc w:val="left"/>
      <w:pPr>
        <w:ind w:left="1720" w:hanging="440"/>
      </w:pPr>
      <w:rPr>
        <w:rFonts w:hint="eastAsia"/>
      </w:rPr>
    </w:lvl>
    <w:lvl w:ilvl="2" w:tentative="0">
      <w:start w:val="1"/>
      <w:numFmt w:val="lowerRoman"/>
      <w:lvlText w:val="%3."/>
      <w:lvlJc w:val="right"/>
      <w:pPr>
        <w:ind w:left="2160" w:hanging="440"/>
      </w:pPr>
      <w:rPr>
        <w:rFonts w:hint="eastAsia"/>
      </w:rPr>
    </w:lvl>
    <w:lvl w:ilvl="3" w:tentative="0">
      <w:start w:val="1"/>
      <w:numFmt w:val="decimal"/>
      <w:lvlText w:val="%4."/>
      <w:lvlJc w:val="left"/>
      <w:pPr>
        <w:ind w:left="2600" w:hanging="440"/>
      </w:pPr>
      <w:rPr>
        <w:rFonts w:hint="eastAsia"/>
      </w:rPr>
    </w:lvl>
    <w:lvl w:ilvl="4" w:tentative="0">
      <w:start w:val="1"/>
      <w:numFmt w:val="lowerLetter"/>
      <w:lvlText w:val="%5)"/>
      <w:lvlJc w:val="left"/>
      <w:pPr>
        <w:ind w:left="3040" w:hanging="440"/>
      </w:pPr>
      <w:rPr>
        <w:rFonts w:hint="eastAsia"/>
      </w:rPr>
    </w:lvl>
    <w:lvl w:ilvl="5" w:tentative="0">
      <w:start w:val="1"/>
      <w:numFmt w:val="lowerRoman"/>
      <w:lvlText w:val="%6."/>
      <w:lvlJc w:val="right"/>
      <w:pPr>
        <w:ind w:left="3480" w:hanging="440"/>
      </w:pPr>
      <w:rPr>
        <w:rFonts w:hint="eastAsia"/>
      </w:rPr>
    </w:lvl>
    <w:lvl w:ilvl="6" w:tentative="0">
      <w:start w:val="1"/>
      <w:numFmt w:val="decimal"/>
      <w:lvlText w:val="%7."/>
      <w:lvlJc w:val="left"/>
      <w:pPr>
        <w:ind w:left="3920" w:hanging="440"/>
      </w:pPr>
      <w:rPr>
        <w:rFonts w:hint="eastAsia"/>
      </w:rPr>
    </w:lvl>
    <w:lvl w:ilvl="7" w:tentative="0">
      <w:start w:val="1"/>
      <w:numFmt w:val="lowerLetter"/>
      <w:lvlText w:val="%8)"/>
      <w:lvlJc w:val="left"/>
      <w:pPr>
        <w:ind w:left="4360" w:hanging="440"/>
      </w:pPr>
      <w:rPr>
        <w:rFonts w:hint="eastAsia"/>
      </w:rPr>
    </w:lvl>
    <w:lvl w:ilvl="8" w:tentative="0">
      <w:start w:val="1"/>
      <w:numFmt w:val="lowerRoman"/>
      <w:lvlText w:val="%9."/>
      <w:lvlJc w:val="right"/>
      <w:pPr>
        <w:ind w:left="4800" w:hanging="440"/>
      </w:pPr>
      <w:rPr>
        <w:rFonts w:hint="eastAsia"/>
      </w:rPr>
    </w:lvl>
  </w:abstractNum>
  <w:abstractNum w:abstractNumId="2">
    <w:nsid w:val="FC697036"/>
    <w:multiLevelType w:val="multilevel"/>
    <w:tmpl w:val="FC697036"/>
    <w:lvl w:ilvl="0" w:tentative="0">
      <w:start w:val="1"/>
      <w:numFmt w:val="lowerLetter"/>
      <w:lvlText w:val="%1)"/>
      <w:lvlJc w:val="left"/>
      <w:pPr>
        <w:ind w:left="862" w:hanging="442"/>
      </w:pPr>
      <w:rPr>
        <w:rFonts w:hint="default"/>
      </w:rPr>
    </w:lvl>
    <w:lvl w:ilvl="1" w:tentative="0">
      <w:start w:val="1"/>
      <w:numFmt w:val="lowerLetter"/>
      <w:lvlText w:val="%2)"/>
      <w:lvlJc w:val="left"/>
      <w:pPr>
        <w:ind w:left="1720" w:hanging="440"/>
      </w:pPr>
      <w:rPr>
        <w:rFonts w:hint="eastAsia"/>
      </w:rPr>
    </w:lvl>
    <w:lvl w:ilvl="2" w:tentative="0">
      <w:start w:val="1"/>
      <w:numFmt w:val="lowerRoman"/>
      <w:lvlText w:val="%3."/>
      <w:lvlJc w:val="right"/>
      <w:pPr>
        <w:ind w:left="2160" w:hanging="440"/>
      </w:pPr>
      <w:rPr>
        <w:rFonts w:hint="eastAsia"/>
      </w:rPr>
    </w:lvl>
    <w:lvl w:ilvl="3" w:tentative="0">
      <w:start w:val="1"/>
      <w:numFmt w:val="decimal"/>
      <w:lvlText w:val="%4."/>
      <w:lvlJc w:val="left"/>
      <w:pPr>
        <w:ind w:left="2600" w:hanging="440"/>
      </w:pPr>
      <w:rPr>
        <w:rFonts w:hint="eastAsia"/>
      </w:rPr>
    </w:lvl>
    <w:lvl w:ilvl="4" w:tentative="0">
      <w:start w:val="1"/>
      <w:numFmt w:val="lowerLetter"/>
      <w:lvlText w:val="%5)"/>
      <w:lvlJc w:val="left"/>
      <w:pPr>
        <w:ind w:left="3040" w:hanging="440"/>
      </w:pPr>
      <w:rPr>
        <w:rFonts w:hint="eastAsia"/>
      </w:rPr>
    </w:lvl>
    <w:lvl w:ilvl="5" w:tentative="0">
      <w:start w:val="1"/>
      <w:numFmt w:val="lowerRoman"/>
      <w:lvlText w:val="%6."/>
      <w:lvlJc w:val="right"/>
      <w:pPr>
        <w:ind w:left="3480" w:hanging="440"/>
      </w:pPr>
      <w:rPr>
        <w:rFonts w:hint="eastAsia"/>
      </w:rPr>
    </w:lvl>
    <w:lvl w:ilvl="6" w:tentative="0">
      <w:start w:val="1"/>
      <w:numFmt w:val="decimal"/>
      <w:lvlText w:val="%7."/>
      <w:lvlJc w:val="left"/>
      <w:pPr>
        <w:ind w:left="3920" w:hanging="440"/>
      </w:pPr>
      <w:rPr>
        <w:rFonts w:hint="eastAsia"/>
      </w:rPr>
    </w:lvl>
    <w:lvl w:ilvl="7" w:tentative="0">
      <w:start w:val="1"/>
      <w:numFmt w:val="lowerLetter"/>
      <w:lvlText w:val="%8)"/>
      <w:lvlJc w:val="left"/>
      <w:pPr>
        <w:ind w:left="4360" w:hanging="440"/>
      </w:pPr>
      <w:rPr>
        <w:rFonts w:hint="eastAsia"/>
      </w:rPr>
    </w:lvl>
    <w:lvl w:ilvl="8" w:tentative="0">
      <w:start w:val="1"/>
      <w:numFmt w:val="lowerRoman"/>
      <w:lvlText w:val="%9."/>
      <w:lvlJc w:val="right"/>
      <w:pPr>
        <w:ind w:left="4800" w:hanging="440"/>
      </w:pPr>
      <w:rPr>
        <w:rFonts w:hint="eastAsia"/>
      </w:rPr>
    </w:lvl>
  </w:abstractNum>
  <w:abstractNum w:abstractNumId="3">
    <w:nsid w:val="0056095A"/>
    <w:multiLevelType w:val="multilevel"/>
    <w:tmpl w:val="0056095A"/>
    <w:lvl w:ilvl="0" w:tentative="0">
      <w:start w:val="1"/>
      <w:numFmt w:val="lowerLetter"/>
      <w:lvlText w:val="%1)"/>
      <w:lvlJc w:val="left"/>
      <w:pPr>
        <w:ind w:left="862" w:hanging="442"/>
      </w:pPr>
      <w:rPr>
        <w:rFonts w:hint="default"/>
      </w:rPr>
    </w:lvl>
    <w:lvl w:ilvl="1" w:tentative="0">
      <w:start w:val="1"/>
      <w:numFmt w:val="lowerLetter"/>
      <w:lvlText w:val="%2)"/>
      <w:lvlJc w:val="left"/>
      <w:pPr>
        <w:ind w:left="1720" w:hanging="440"/>
      </w:pPr>
      <w:rPr>
        <w:rFonts w:hint="eastAsia"/>
      </w:rPr>
    </w:lvl>
    <w:lvl w:ilvl="2" w:tentative="0">
      <w:start w:val="1"/>
      <w:numFmt w:val="lowerRoman"/>
      <w:lvlText w:val="%3."/>
      <w:lvlJc w:val="right"/>
      <w:pPr>
        <w:ind w:left="2160" w:hanging="440"/>
      </w:pPr>
      <w:rPr>
        <w:rFonts w:hint="eastAsia"/>
      </w:rPr>
    </w:lvl>
    <w:lvl w:ilvl="3" w:tentative="0">
      <w:start w:val="1"/>
      <w:numFmt w:val="decimal"/>
      <w:lvlText w:val="%4."/>
      <w:lvlJc w:val="left"/>
      <w:pPr>
        <w:ind w:left="2600" w:hanging="440"/>
      </w:pPr>
      <w:rPr>
        <w:rFonts w:hint="eastAsia"/>
      </w:rPr>
    </w:lvl>
    <w:lvl w:ilvl="4" w:tentative="0">
      <w:start w:val="1"/>
      <w:numFmt w:val="lowerLetter"/>
      <w:lvlText w:val="%5)"/>
      <w:lvlJc w:val="left"/>
      <w:pPr>
        <w:ind w:left="3040" w:hanging="440"/>
      </w:pPr>
      <w:rPr>
        <w:rFonts w:hint="eastAsia"/>
      </w:rPr>
    </w:lvl>
    <w:lvl w:ilvl="5" w:tentative="0">
      <w:start w:val="1"/>
      <w:numFmt w:val="lowerRoman"/>
      <w:lvlText w:val="%6."/>
      <w:lvlJc w:val="right"/>
      <w:pPr>
        <w:ind w:left="3480" w:hanging="440"/>
      </w:pPr>
      <w:rPr>
        <w:rFonts w:hint="eastAsia"/>
      </w:rPr>
    </w:lvl>
    <w:lvl w:ilvl="6" w:tentative="0">
      <w:start w:val="1"/>
      <w:numFmt w:val="decimal"/>
      <w:lvlText w:val="%7."/>
      <w:lvlJc w:val="left"/>
      <w:pPr>
        <w:ind w:left="3920" w:hanging="440"/>
      </w:pPr>
      <w:rPr>
        <w:rFonts w:hint="eastAsia"/>
      </w:rPr>
    </w:lvl>
    <w:lvl w:ilvl="7" w:tentative="0">
      <w:start w:val="1"/>
      <w:numFmt w:val="lowerLetter"/>
      <w:lvlText w:val="%8)"/>
      <w:lvlJc w:val="left"/>
      <w:pPr>
        <w:ind w:left="4360" w:hanging="440"/>
      </w:pPr>
      <w:rPr>
        <w:rFonts w:hint="eastAsia"/>
      </w:rPr>
    </w:lvl>
    <w:lvl w:ilvl="8" w:tentative="0">
      <w:start w:val="1"/>
      <w:numFmt w:val="lowerRoman"/>
      <w:lvlText w:val="%9."/>
      <w:lvlJc w:val="right"/>
      <w:pPr>
        <w:ind w:left="4800" w:hanging="440"/>
      </w:pPr>
      <w:rPr>
        <w:rFonts w:hint="eastAsia"/>
      </w:rPr>
    </w:lvl>
  </w:abstractNum>
  <w:abstractNum w:abstractNumId="4">
    <w:nsid w:val="01246D88"/>
    <w:multiLevelType w:val="multilevel"/>
    <w:tmpl w:val="01246D88"/>
    <w:lvl w:ilvl="0" w:tentative="0">
      <w:start w:val="1"/>
      <w:numFmt w:val="lowerLetter"/>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
    <w:nsid w:val="024D7BF8"/>
    <w:multiLevelType w:val="multilevel"/>
    <w:tmpl w:val="024D7BF8"/>
    <w:lvl w:ilvl="0" w:tentative="0">
      <w:start w:val="1"/>
      <w:numFmt w:val="lowerLetter"/>
      <w:lvlText w:val="%1)"/>
      <w:lvlJc w:val="left"/>
      <w:pPr>
        <w:ind w:left="862" w:hanging="442"/>
      </w:pPr>
      <w:rPr>
        <w:rFonts w:hint="default"/>
      </w:rPr>
    </w:lvl>
    <w:lvl w:ilvl="1" w:tentative="0">
      <w:start w:val="1"/>
      <w:numFmt w:val="lowerLetter"/>
      <w:lvlText w:val="%2)"/>
      <w:lvlJc w:val="left"/>
      <w:pPr>
        <w:ind w:left="1720" w:hanging="440"/>
      </w:pPr>
      <w:rPr>
        <w:rFonts w:hint="eastAsia"/>
      </w:rPr>
    </w:lvl>
    <w:lvl w:ilvl="2" w:tentative="0">
      <w:start w:val="1"/>
      <w:numFmt w:val="lowerRoman"/>
      <w:lvlText w:val="%3."/>
      <w:lvlJc w:val="right"/>
      <w:pPr>
        <w:ind w:left="2160" w:hanging="440"/>
      </w:pPr>
      <w:rPr>
        <w:rFonts w:hint="eastAsia"/>
      </w:rPr>
    </w:lvl>
    <w:lvl w:ilvl="3" w:tentative="0">
      <w:start w:val="1"/>
      <w:numFmt w:val="decimal"/>
      <w:lvlText w:val="%4."/>
      <w:lvlJc w:val="left"/>
      <w:pPr>
        <w:ind w:left="2600" w:hanging="440"/>
      </w:pPr>
      <w:rPr>
        <w:rFonts w:hint="eastAsia"/>
      </w:rPr>
    </w:lvl>
    <w:lvl w:ilvl="4" w:tentative="0">
      <w:start w:val="1"/>
      <w:numFmt w:val="lowerLetter"/>
      <w:lvlText w:val="%5)"/>
      <w:lvlJc w:val="left"/>
      <w:pPr>
        <w:ind w:left="3040" w:hanging="440"/>
      </w:pPr>
      <w:rPr>
        <w:rFonts w:hint="eastAsia"/>
      </w:rPr>
    </w:lvl>
    <w:lvl w:ilvl="5" w:tentative="0">
      <w:start w:val="1"/>
      <w:numFmt w:val="lowerRoman"/>
      <w:lvlText w:val="%6."/>
      <w:lvlJc w:val="right"/>
      <w:pPr>
        <w:ind w:left="3480" w:hanging="440"/>
      </w:pPr>
      <w:rPr>
        <w:rFonts w:hint="eastAsia"/>
      </w:rPr>
    </w:lvl>
    <w:lvl w:ilvl="6" w:tentative="0">
      <w:start w:val="1"/>
      <w:numFmt w:val="decimal"/>
      <w:lvlText w:val="%7."/>
      <w:lvlJc w:val="left"/>
      <w:pPr>
        <w:ind w:left="3920" w:hanging="440"/>
      </w:pPr>
      <w:rPr>
        <w:rFonts w:hint="eastAsia"/>
      </w:rPr>
    </w:lvl>
    <w:lvl w:ilvl="7" w:tentative="0">
      <w:start w:val="1"/>
      <w:numFmt w:val="lowerLetter"/>
      <w:lvlText w:val="%8)"/>
      <w:lvlJc w:val="left"/>
      <w:pPr>
        <w:ind w:left="4360" w:hanging="440"/>
      </w:pPr>
      <w:rPr>
        <w:rFonts w:hint="eastAsia"/>
      </w:rPr>
    </w:lvl>
    <w:lvl w:ilvl="8" w:tentative="0">
      <w:start w:val="1"/>
      <w:numFmt w:val="lowerRoman"/>
      <w:lvlText w:val="%9."/>
      <w:lvlJc w:val="right"/>
      <w:pPr>
        <w:ind w:left="4800" w:hanging="440"/>
      </w:pPr>
      <w:rPr>
        <w:rFonts w:hint="eastAsia"/>
      </w:rPr>
    </w:lvl>
  </w:abstractNum>
  <w:abstractNum w:abstractNumId="6">
    <w:nsid w:val="0593176E"/>
    <w:multiLevelType w:val="multilevel"/>
    <w:tmpl w:val="0593176E"/>
    <w:lvl w:ilvl="0" w:tentative="0">
      <w:start w:val="1"/>
      <w:numFmt w:val="decimal"/>
      <w:lvlText w:val="%1)"/>
      <w:lvlJc w:val="left"/>
      <w:pPr>
        <w:ind w:left="1280" w:hanging="440"/>
      </w:pPr>
      <w:rPr>
        <w:rFonts w:hint="default"/>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7">
    <w:nsid w:val="07A3383B"/>
    <w:multiLevelType w:val="multilevel"/>
    <w:tmpl w:val="07A3383B"/>
    <w:lvl w:ilvl="0" w:tentative="0">
      <w:start w:val="1"/>
      <w:numFmt w:val="lowerLetter"/>
      <w:lvlText w:val="%1)"/>
      <w:lvlJc w:val="left"/>
      <w:pPr>
        <w:ind w:left="862" w:hanging="442"/>
      </w:pPr>
      <w:rPr>
        <w:rFonts w:hint="default"/>
      </w:rPr>
    </w:lvl>
    <w:lvl w:ilvl="1" w:tentative="0">
      <w:start w:val="1"/>
      <w:numFmt w:val="lowerLetter"/>
      <w:lvlText w:val="%2)"/>
      <w:lvlJc w:val="left"/>
      <w:pPr>
        <w:ind w:left="1720" w:hanging="440"/>
      </w:pPr>
      <w:rPr>
        <w:rFonts w:hint="eastAsia"/>
      </w:rPr>
    </w:lvl>
    <w:lvl w:ilvl="2" w:tentative="0">
      <w:start w:val="1"/>
      <w:numFmt w:val="lowerRoman"/>
      <w:lvlText w:val="%3."/>
      <w:lvlJc w:val="right"/>
      <w:pPr>
        <w:ind w:left="2160" w:hanging="440"/>
      </w:pPr>
      <w:rPr>
        <w:rFonts w:hint="eastAsia"/>
      </w:rPr>
    </w:lvl>
    <w:lvl w:ilvl="3" w:tentative="0">
      <w:start w:val="1"/>
      <w:numFmt w:val="decimal"/>
      <w:lvlText w:val="%4."/>
      <w:lvlJc w:val="left"/>
      <w:pPr>
        <w:ind w:left="2600" w:hanging="440"/>
      </w:pPr>
      <w:rPr>
        <w:rFonts w:hint="eastAsia"/>
      </w:rPr>
    </w:lvl>
    <w:lvl w:ilvl="4" w:tentative="0">
      <w:start w:val="1"/>
      <w:numFmt w:val="lowerLetter"/>
      <w:lvlText w:val="%5)"/>
      <w:lvlJc w:val="left"/>
      <w:pPr>
        <w:ind w:left="3040" w:hanging="440"/>
      </w:pPr>
      <w:rPr>
        <w:rFonts w:hint="eastAsia"/>
      </w:rPr>
    </w:lvl>
    <w:lvl w:ilvl="5" w:tentative="0">
      <w:start w:val="1"/>
      <w:numFmt w:val="lowerRoman"/>
      <w:lvlText w:val="%6."/>
      <w:lvlJc w:val="right"/>
      <w:pPr>
        <w:ind w:left="3480" w:hanging="440"/>
      </w:pPr>
      <w:rPr>
        <w:rFonts w:hint="eastAsia"/>
      </w:rPr>
    </w:lvl>
    <w:lvl w:ilvl="6" w:tentative="0">
      <w:start w:val="1"/>
      <w:numFmt w:val="decimal"/>
      <w:lvlText w:val="%7."/>
      <w:lvlJc w:val="left"/>
      <w:pPr>
        <w:ind w:left="3920" w:hanging="440"/>
      </w:pPr>
      <w:rPr>
        <w:rFonts w:hint="eastAsia"/>
      </w:rPr>
    </w:lvl>
    <w:lvl w:ilvl="7" w:tentative="0">
      <w:start w:val="1"/>
      <w:numFmt w:val="lowerLetter"/>
      <w:lvlText w:val="%8)"/>
      <w:lvlJc w:val="left"/>
      <w:pPr>
        <w:ind w:left="4360" w:hanging="440"/>
      </w:pPr>
      <w:rPr>
        <w:rFonts w:hint="eastAsia"/>
      </w:rPr>
    </w:lvl>
    <w:lvl w:ilvl="8" w:tentative="0">
      <w:start w:val="1"/>
      <w:numFmt w:val="lowerRoman"/>
      <w:lvlText w:val="%9."/>
      <w:lvlJc w:val="right"/>
      <w:pPr>
        <w:ind w:left="4800" w:hanging="440"/>
      </w:pPr>
      <w:rPr>
        <w:rFonts w:hint="eastAsia"/>
      </w:rPr>
    </w:lvl>
  </w:abstractNum>
  <w:abstractNum w:abstractNumId="8">
    <w:nsid w:val="0B777BE1"/>
    <w:multiLevelType w:val="multilevel"/>
    <w:tmpl w:val="0B777BE1"/>
    <w:lvl w:ilvl="0" w:tentative="0">
      <w:start w:val="1"/>
      <w:numFmt w:val="lowerLetter"/>
      <w:lvlText w:val="%1)"/>
      <w:lvlJc w:val="left"/>
      <w:pPr>
        <w:ind w:left="78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0C7A578F"/>
    <w:multiLevelType w:val="multilevel"/>
    <w:tmpl w:val="0C7A578F"/>
    <w:lvl w:ilvl="0" w:tentative="0">
      <w:start w:val="1"/>
      <w:numFmt w:val="lowerLetter"/>
      <w:lvlText w:val="%1)"/>
      <w:lvlJc w:val="left"/>
      <w:pPr>
        <w:ind w:left="862" w:hanging="442"/>
      </w:pPr>
      <w:rPr>
        <w:rFonts w:hint="default"/>
      </w:rPr>
    </w:lvl>
    <w:lvl w:ilvl="1" w:tentative="0">
      <w:start w:val="1"/>
      <w:numFmt w:val="lowerLetter"/>
      <w:lvlText w:val="%2)"/>
      <w:lvlJc w:val="left"/>
      <w:pPr>
        <w:ind w:left="1720" w:hanging="440"/>
      </w:pPr>
      <w:rPr>
        <w:rFonts w:hint="eastAsia"/>
      </w:rPr>
    </w:lvl>
    <w:lvl w:ilvl="2" w:tentative="0">
      <w:start w:val="1"/>
      <w:numFmt w:val="lowerRoman"/>
      <w:lvlText w:val="%3."/>
      <w:lvlJc w:val="right"/>
      <w:pPr>
        <w:ind w:left="2160" w:hanging="440"/>
      </w:pPr>
      <w:rPr>
        <w:rFonts w:hint="eastAsia"/>
      </w:rPr>
    </w:lvl>
    <w:lvl w:ilvl="3" w:tentative="0">
      <w:start w:val="1"/>
      <w:numFmt w:val="decimal"/>
      <w:lvlText w:val="%4."/>
      <w:lvlJc w:val="left"/>
      <w:pPr>
        <w:ind w:left="2600" w:hanging="440"/>
      </w:pPr>
      <w:rPr>
        <w:rFonts w:hint="eastAsia"/>
      </w:rPr>
    </w:lvl>
    <w:lvl w:ilvl="4" w:tentative="0">
      <w:start w:val="1"/>
      <w:numFmt w:val="lowerLetter"/>
      <w:lvlText w:val="%5)"/>
      <w:lvlJc w:val="left"/>
      <w:pPr>
        <w:ind w:left="3040" w:hanging="440"/>
      </w:pPr>
      <w:rPr>
        <w:rFonts w:hint="eastAsia"/>
      </w:rPr>
    </w:lvl>
    <w:lvl w:ilvl="5" w:tentative="0">
      <w:start w:val="1"/>
      <w:numFmt w:val="lowerRoman"/>
      <w:lvlText w:val="%6."/>
      <w:lvlJc w:val="right"/>
      <w:pPr>
        <w:ind w:left="3480" w:hanging="440"/>
      </w:pPr>
      <w:rPr>
        <w:rFonts w:hint="eastAsia"/>
      </w:rPr>
    </w:lvl>
    <w:lvl w:ilvl="6" w:tentative="0">
      <w:start w:val="1"/>
      <w:numFmt w:val="decimal"/>
      <w:lvlText w:val="%7."/>
      <w:lvlJc w:val="left"/>
      <w:pPr>
        <w:ind w:left="3920" w:hanging="440"/>
      </w:pPr>
      <w:rPr>
        <w:rFonts w:hint="eastAsia"/>
      </w:rPr>
    </w:lvl>
    <w:lvl w:ilvl="7" w:tentative="0">
      <w:start w:val="1"/>
      <w:numFmt w:val="lowerLetter"/>
      <w:lvlText w:val="%8)"/>
      <w:lvlJc w:val="left"/>
      <w:pPr>
        <w:ind w:left="4360" w:hanging="440"/>
      </w:pPr>
      <w:rPr>
        <w:rFonts w:hint="eastAsia"/>
      </w:rPr>
    </w:lvl>
    <w:lvl w:ilvl="8" w:tentative="0">
      <w:start w:val="1"/>
      <w:numFmt w:val="lowerRoman"/>
      <w:lvlText w:val="%9."/>
      <w:lvlJc w:val="right"/>
      <w:pPr>
        <w:ind w:left="4800" w:hanging="440"/>
      </w:pPr>
      <w:rPr>
        <w:rFonts w:hint="eastAsia"/>
      </w:rPr>
    </w:lvl>
  </w:abstractNum>
  <w:abstractNum w:abstractNumId="10">
    <w:nsid w:val="0F6845F5"/>
    <w:multiLevelType w:val="multilevel"/>
    <w:tmpl w:val="0F6845F5"/>
    <w:lvl w:ilvl="0" w:tentative="0">
      <w:start w:val="1"/>
      <w:numFmt w:val="lowerLetter"/>
      <w:lvlText w:val="%1)"/>
      <w:lvlJc w:val="left"/>
      <w:pPr>
        <w:ind w:left="862" w:hanging="442"/>
      </w:pPr>
      <w:rPr>
        <w:rFonts w:hint="default"/>
      </w:rPr>
    </w:lvl>
    <w:lvl w:ilvl="1" w:tentative="0">
      <w:start w:val="1"/>
      <w:numFmt w:val="lowerLetter"/>
      <w:lvlText w:val="%2)"/>
      <w:lvlJc w:val="left"/>
      <w:pPr>
        <w:ind w:left="1720" w:hanging="440"/>
      </w:pPr>
      <w:rPr>
        <w:rFonts w:hint="eastAsia"/>
      </w:rPr>
    </w:lvl>
    <w:lvl w:ilvl="2" w:tentative="0">
      <w:start w:val="1"/>
      <w:numFmt w:val="lowerRoman"/>
      <w:lvlText w:val="%3."/>
      <w:lvlJc w:val="right"/>
      <w:pPr>
        <w:ind w:left="2160" w:hanging="440"/>
      </w:pPr>
      <w:rPr>
        <w:rFonts w:hint="eastAsia"/>
      </w:rPr>
    </w:lvl>
    <w:lvl w:ilvl="3" w:tentative="0">
      <w:start w:val="1"/>
      <w:numFmt w:val="decimal"/>
      <w:lvlText w:val="%4."/>
      <w:lvlJc w:val="left"/>
      <w:pPr>
        <w:ind w:left="2600" w:hanging="440"/>
      </w:pPr>
      <w:rPr>
        <w:rFonts w:hint="eastAsia"/>
      </w:rPr>
    </w:lvl>
    <w:lvl w:ilvl="4" w:tentative="0">
      <w:start w:val="1"/>
      <w:numFmt w:val="lowerLetter"/>
      <w:lvlText w:val="%5)"/>
      <w:lvlJc w:val="left"/>
      <w:pPr>
        <w:ind w:left="3040" w:hanging="440"/>
      </w:pPr>
      <w:rPr>
        <w:rFonts w:hint="eastAsia"/>
      </w:rPr>
    </w:lvl>
    <w:lvl w:ilvl="5" w:tentative="0">
      <w:start w:val="1"/>
      <w:numFmt w:val="lowerRoman"/>
      <w:lvlText w:val="%6."/>
      <w:lvlJc w:val="right"/>
      <w:pPr>
        <w:ind w:left="3480" w:hanging="440"/>
      </w:pPr>
      <w:rPr>
        <w:rFonts w:hint="eastAsia"/>
      </w:rPr>
    </w:lvl>
    <w:lvl w:ilvl="6" w:tentative="0">
      <w:start w:val="1"/>
      <w:numFmt w:val="decimal"/>
      <w:lvlText w:val="%7."/>
      <w:lvlJc w:val="left"/>
      <w:pPr>
        <w:ind w:left="3920" w:hanging="440"/>
      </w:pPr>
      <w:rPr>
        <w:rFonts w:hint="eastAsia"/>
      </w:rPr>
    </w:lvl>
    <w:lvl w:ilvl="7" w:tentative="0">
      <w:start w:val="1"/>
      <w:numFmt w:val="lowerLetter"/>
      <w:lvlText w:val="%8)"/>
      <w:lvlJc w:val="left"/>
      <w:pPr>
        <w:ind w:left="4360" w:hanging="440"/>
      </w:pPr>
      <w:rPr>
        <w:rFonts w:hint="eastAsia"/>
      </w:rPr>
    </w:lvl>
    <w:lvl w:ilvl="8" w:tentative="0">
      <w:start w:val="1"/>
      <w:numFmt w:val="lowerRoman"/>
      <w:lvlText w:val="%9."/>
      <w:lvlJc w:val="right"/>
      <w:pPr>
        <w:ind w:left="4800" w:hanging="440"/>
      </w:pPr>
      <w:rPr>
        <w:rFonts w:hint="eastAsia"/>
      </w:rPr>
    </w:lvl>
  </w:abstractNum>
  <w:abstractNum w:abstractNumId="11">
    <w:nsid w:val="11F92AEB"/>
    <w:multiLevelType w:val="multilevel"/>
    <w:tmpl w:val="11F92AEB"/>
    <w:lvl w:ilvl="0" w:tentative="0">
      <w:start w:val="1"/>
      <w:numFmt w:val="lowerLetter"/>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2">
    <w:nsid w:val="123644D2"/>
    <w:multiLevelType w:val="multilevel"/>
    <w:tmpl w:val="123644D2"/>
    <w:lvl w:ilvl="0" w:tentative="0">
      <w:start w:val="1"/>
      <w:numFmt w:val="lowerLetter"/>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3">
    <w:nsid w:val="12DE0AF8"/>
    <w:multiLevelType w:val="multilevel"/>
    <w:tmpl w:val="12DE0AF8"/>
    <w:lvl w:ilvl="0" w:tentative="0">
      <w:start w:val="1"/>
      <w:numFmt w:val="decimal"/>
      <w:lvlText w:val="%1)"/>
      <w:lvlJc w:val="left"/>
      <w:pPr>
        <w:ind w:left="1280" w:hanging="440"/>
      </w:pPr>
      <w:rPr>
        <w:rFonts w:hint="default"/>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14">
    <w:nsid w:val="16E32B78"/>
    <w:multiLevelType w:val="multilevel"/>
    <w:tmpl w:val="16E32B78"/>
    <w:lvl w:ilvl="0" w:tentative="0">
      <w:start w:val="1"/>
      <w:numFmt w:val="lowerLetter"/>
      <w:lvlText w:val="%1)"/>
      <w:lvlJc w:val="left"/>
      <w:pPr>
        <w:ind w:left="862" w:hanging="442"/>
      </w:pPr>
      <w:rPr>
        <w:rFonts w:hint="default"/>
      </w:rPr>
    </w:lvl>
    <w:lvl w:ilvl="1" w:tentative="0">
      <w:start w:val="1"/>
      <w:numFmt w:val="lowerLetter"/>
      <w:lvlText w:val="%2)"/>
      <w:lvlJc w:val="left"/>
      <w:pPr>
        <w:ind w:left="1720" w:hanging="440"/>
      </w:pPr>
      <w:rPr>
        <w:rFonts w:hint="eastAsia"/>
      </w:rPr>
    </w:lvl>
    <w:lvl w:ilvl="2" w:tentative="0">
      <w:start w:val="1"/>
      <w:numFmt w:val="lowerRoman"/>
      <w:lvlText w:val="%3."/>
      <w:lvlJc w:val="right"/>
      <w:pPr>
        <w:ind w:left="2160" w:hanging="440"/>
      </w:pPr>
      <w:rPr>
        <w:rFonts w:hint="eastAsia"/>
      </w:rPr>
    </w:lvl>
    <w:lvl w:ilvl="3" w:tentative="0">
      <w:start w:val="1"/>
      <w:numFmt w:val="decimal"/>
      <w:lvlText w:val="%4."/>
      <w:lvlJc w:val="left"/>
      <w:pPr>
        <w:ind w:left="2600" w:hanging="440"/>
      </w:pPr>
      <w:rPr>
        <w:rFonts w:hint="eastAsia"/>
      </w:rPr>
    </w:lvl>
    <w:lvl w:ilvl="4" w:tentative="0">
      <w:start w:val="1"/>
      <w:numFmt w:val="lowerLetter"/>
      <w:lvlText w:val="%5)"/>
      <w:lvlJc w:val="left"/>
      <w:pPr>
        <w:ind w:left="3040" w:hanging="440"/>
      </w:pPr>
      <w:rPr>
        <w:rFonts w:hint="eastAsia"/>
      </w:rPr>
    </w:lvl>
    <w:lvl w:ilvl="5" w:tentative="0">
      <w:start w:val="1"/>
      <w:numFmt w:val="lowerRoman"/>
      <w:lvlText w:val="%6."/>
      <w:lvlJc w:val="right"/>
      <w:pPr>
        <w:ind w:left="3480" w:hanging="440"/>
      </w:pPr>
      <w:rPr>
        <w:rFonts w:hint="eastAsia"/>
      </w:rPr>
    </w:lvl>
    <w:lvl w:ilvl="6" w:tentative="0">
      <w:start w:val="1"/>
      <w:numFmt w:val="decimal"/>
      <w:lvlText w:val="%7."/>
      <w:lvlJc w:val="left"/>
      <w:pPr>
        <w:ind w:left="3920" w:hanging="440"/>
      </w:pPr>
      <w:rPr>
        <w:rFonts w:hint="eastAsia"/>
      </w:rPr>
    </w:lvl>
    <w:lvl w:ilvl="7" w:tentative="0">
      <w:start w:val="1"/>
      <w:numFmt w:val="lowerLetter"/>
      <w:lvlText w:val="%8)"/>
      <w:lvlJc w:val="left"/>
      <w:pPr>
        <w:ind w:left="4360" w:hanging="440"/>
      </w:pPr>
      <w:rPr>
        <w:rFonts w:hint="eastAsia"/>
      </w:rPr>
    </w:lvl>
    <w:lvl w:ilvl="8" w:tentative="0">
      <w:start w:val="1"/>
      <w:numFmt w:val="lowerRoman"/>
      <w:lvlText w:val="%9."/>
      <w:lvlJc w:val="right"/>
      <w:pPr>
        <w:ind w:left="4800" w:hanging="440"/>
      </w:pPr>
      <w:rPr>
        <w:rFonts w:hint="eastAsia"/>
      </w:rPr>
    </w:lvl>
  </w:abstractNum>
  <w:abstractNum w:abstractNumId="15">
    <w:nsid w:val="199E73D4"/>
    <w:multiLevelType w:val="multilevel"/>
    <w:tmpl w:val="199E73D4"/>
    <w:lvl w:ilvl="0" w:tentative="0">
      <w:start w:val="1"/>
      <w:numFmt w:val="lowerLetter"/>
      <w:lvlText w:val="%1)"/>
      <w:lvlJc w:val="left"/>
      <w:pPr>
        <w:ind w:left="862" w:hanging="442"/>
      </w:pPr>
      <w:rPr>
        <w:rFonts w:hint="default"/>
      </w:rPr>
    </w:lvl>
    <w:lvl w:ilvl="1" w:tentative="0">
      <w:start w:val="1"/>
      <w:numFmt w:val="lowerLetter"/>
      <w:lvlText w:val="%2)"/>
      <w:lvlJc w:val="left"/>
      <w:pPr>
        <w:ind w:left="1720" w:hanging="440"/>
      </w:pPr>
      <w:rPr>
        <w:rFonts w:hint="eastAsia"/>
      </w:rPr>
    </w:lvl>
    <w:lvl w:ilvl="2" w:tentative="0">
      <w:start w:val="1"/>
      <w:numFmt w:val="lowerRoman"/>
      <w:lvlText w:val="%3."/>
      <w:lvlJc w:val="right"/>
      <w:pPr>
        <w:ind w:left="2160" w:hanging="440"/>
      </w:pPr>
      <w:rPr>
        <w:rFonts w:hint="eastAsia"/>
      </w:rPr>
    </w:lvl>
    <w:lvl w:ilvl="3" w:tentative="0">
      <w:start w:val="1"/>
      <w:numFmt w:val="decimal"/>
      <w:lvlText w:val="%4."/>
      <w:lvlJc w:val="left"/>
      <w:pPr>
        <w:ind w:left="2600" w:hanging="440"/>
      </w:pPr>
      <w:rPr>
        <w:rFonts w:hint="eastAsia"/>
      </w:rPr>
    </w:lvl>
    <w:lvl w:ilvl="4" w:tentative="0">
      <w:start w:val="1"/>
      <w:numFmt w:val="lowerLetter"/>
      <w:lvlText w:val="%5)"/>
      <w:lvlJc w:val="left"/>
      <w:pPr>
        <w:ind w:left="3040" w:hanging="440"/>
      </w:pPr>
      <w:rPr>
        <w:rFonts w:hint="eastAsia"/>
      </w:rPr>
    </w:lvl>
    <w:lvl w:ilvl="5" w:tentative="0">
      <w:start w:val="1"/>
      <w:numFmt w:val="lowerRoman"/>
      <w:lvlText w:val="%6."/>
      <w:lvlJc w:val="right"/>
      <w:pPr>
        <w:ind w:left="3480" w:hanging="440"/>
      </w:pPr>
      <w:rPr>
        <w:rFonts w:hint="eastAsia"/>
      </w:rPr>
    </w:lvl>
    <w:lvl w:ilvl="6" w:tentative="0">
      <w:start w:val="1"/>
      <w:numFmt w:val="decimal"/>
      <w:lvlText w:val="%7."/>
      <w:lvlJc w:val="left"/>
      <w:pPr>
        <w:ind w:left="3920" w:hanging="440"/>
      </w:pPr>
      <w:rPr>
        <w:rFonts w:hint="eastAsia"/>
      </w:rPr>
    </w:lvl>
    <w:lvl w:ilvl="7" w:tentative="0">
      <w:start w:val="1"/>
      <w:numFmt w:val="lowerLetter"/>
      <w:lvlText w:val="%8)"/>
      <w:lvlJc w:val="left"/>
      <w:pPr>
        <w:ind w:left="4360" w:hanging="440"/>
      </w:pPr>
      <w:rPr>
        <w:rFonts w:hint="eastAsia"/>
      </w:rPr>
    </w:lvl>
    <w:lvl w:ilvl="8" w:tentative="0">
      <w:start w:val="1"/>
      <w:numFmt w:val="lowerRoman"/>
      <w:lvlText w:val="%9."/>
      <w:lvlJc w:val="right"/>
      <w:pPr>
        <w:ind w:left="4800" w:hanging="440"/>
      </w:pPr>
      <w:rPr>
        <w:rFonts w:hint="eastAsia"/>
      </w:rPr>
    </w:lvl>
  </w:abstractNum>
  <w:abstractNum w:abstractNumId="16">
    <w:nsid w:val="19FF0DD5"/>
    <w:multiLevelType w:val="multilevel"/>
    <w:tmpl w:val="19FF0DD5"/>
    <w:lvl w:ilvl="0" w:tentative="0">
      <w:start w:val="1"/>
      <w:numFmt w:val="lowerLetter"/>
      <w:lvlText w:val="%1)"/>
      <w:lvlJc w:val="left"/>
      <w:pPr>
        <w:ind w:left="862" w:hanging="442"/>
      </w:pPr>
      <w:rPr>
        <w:rFonts w:hint="default"/>
      </w:rPr>
    </w:lvl>
    <w:lvl w:ilvl="1" w:tentative="0">
      <w:start w:val="1"/>
      <w:numFmt w:val="lowerLetter"/>
      <w:lvlText w:val="%2)"/>
      <w:lvlJc w:val="left"/>
      <w:pPr>
        <w:ind w:left="1720" w:hanging="440"/>
      </w:pPr>
      <w:rPr>
        <w:rFonts w:hint="eastAsia"/>
      </w:rPr>
    </w:lvl>
    <w:lvl w:ilvl="2" w:tentative="0">
      <w:start w:val="1"/>
      <w:numFmt w:val="lowerRoman"/>
      <w:lvlText w:val="%3."/>
      <w:lvlJc w:val="right"/>
      <w:pPr>
        <w:ind w:left="2160" w:hanging="440"/>
      </w:pPr>
      <w:rPr>
        <w:rFonts w:hint="eastAsia"/>
      </w:rPr>
    </w:lvl>
    <w:lvl w:ilvl="3" w:tentative="0">
      <w:start w:val="1"/>
      <w:numFmt w:val="decimal"/>
      <w:lvlText w:val="%4."/>
      <w:lvlJc w:val="left"/>
      <w:pPr>
        <w:ind w:left="2600" w:hanging="440"/>
      </w:pPr>
      <w:rPr>
        <w:rFonts w:hint="eastAsia"/>
      </w:rPr>
    </w:lvl>
    <w:lvl w:ilvl="4" w:tentative="0">
      <w:start w:val="1"/>
      <w:numFmt w:val="lowerLetter"/>
      <w:lvlText w:val="%5)"/>
      <w:lvlJc w:val="left"/>
      <w:pPr>
        <w:ind w:left="3040" w:hanging="440"/>
      </w:pPr>
      <w:rPr>
        <w:rFonts w:hint="eastAsia"/>
      </w:rPr>
    </w:lvl>
    <w:lvl w:ilvl="5" w:tentative="0">
      <w:start w:val="1"/>
      <w:numFmt w:val="lowerRoman"/>
      <w:lvlText w:val="%6."/>
      <w:lvlJc w:val="right"/>
      <w:pPr>
        <w:ind w:left="3480" w:hanging="440"/>
      </w:pPr>
      <w:rPr>
        <w:rFonts w:hint="eastAsia"/>
      </w:rPr>
    </w:lvl>
    <w:lvl w:ilvl="6" w:tentative="0">
      <w:start w:val="1"/>
      <w:numFmt w:val="decimal"/>
      <w:lvlText w:val="%7."/>
      <w:lvlJc w:val="left"/>
      <w:pPr>
        <w:ind w:left="3920" w:hanging="440"/>
      </w:pPr>
      <w:rPr>
        <w:rFonts w:hint="eastAsia"/>
      </w:rPr>
    </w:lvl>
    <w:lvl w:ilvl="7" w:tentative="0">
      <w:start w:val="1"/>
      <w:numFmt w:val="lowerLetter"/>
      <w:lvlText w:val="%8)"/>
      <w:lvlJc w:val="left"/>
      <w:pPr>
        <w:ind w:left="4360" w:hanging="440"/>
      </w:pPr>
      <w:rPr>
        <w:rFonts w:hint="eastAsia"/>
      </w:rPr>
    </w:lvl>
    <w:lvl w:ilvl="8" w:tentative="0">
      <w:start w:val="1"/>
      <w:numFmt w:val="lowerRoman"/>
      <w:lvlText w:val="%9."/>
      <w:lvlJc w:val="right"/>
      <w:pPr>
        <w:ind w:left="4800" w:hanging="440"/>
      </w:pPr>
      <w:rPr>
        <w:rFonts w:hint="eastAsia"/>
      </w:rPr>
    </w:lvl>
  </w:abstractNum>
  <w:abstractNum w:abstractNumId="17">
    <w:nsid w:val="1AB65CEB"/>
    <w:multiLevelType w:val="multilevel"/>
    <w:tmpl w:val="1AB65CEB"/>
    <w:lvl w:ilvl="0" w:tentative="0">
      <w:start w:val="1"/>
      <w:numFmt w:val="lowerLetter"/>
      <w:lvlText w:val="%1)"/>
      <w:lvlJc w:val="left"/>
      <w:pPr>
        <w:ind w:left="868" w:hanging="442"/>
      </w:pPr>
      <w:rPr>
        <w:rFonts w:hint="default"/>
      </w:rPr>
    </w:lvl>
    <w:lvl w:ilvl="1" w:tentative="0">
      <w:start w:val="1"/>
      <w:numFmt w:val="lowerLetter"/>
      <w:lvlText w:val="%2)"/>
      <w:lvlJc w:val="left"/>
      <w:pPr>
        <w:ind w:left="1720" w:hanging="440"/>
      </w:pPr>
      <w:rPr>
        <w:rFonts w:hint="eastAsia"/>
      </w:rPr>
    </w:lvl>
    <w:lvl w:ilvl="2" w:tentative="0">
      <w:start w:val="1"/>
      <w:numFmt w:val="lowerRoman"/>
      <w:lvlText w:val="%3."/>
      <w:lvlJc w:val="right"/>
      <w:pPr>
        <w:ind w:left="2160" w:hanging="440"/>
      </w:pPr>
      <w:rPr>
        <w:rFonts w:hint="eastAsia"/>
      </w:rPr>
    </w:lvl>
    <w:lvl w:ilvl="3" w:tentative="0">
      <w:start w:val="1"/>
      <w:numFmt w:val="decimal"/>
      <w:lvlText w:val="%4."/>
      <w:lvlJc w:val="left"/>
      <w:pPr>
        <w:ind w:left="2600" w:hanging="440"/>
      </w:pPr>
      <w:rPr>
        <w:rFonts w:hint="eastAsia"/>
      </w:rPr>
    </w:lvl>
    <w:lvl w:ilvl="4" w:tentative="0">
      <w:start w:val="1"/>
      <w:numFmt w:val="lowerLetter"/>
      <w:lvlText w:val="%5)"/>
      <w:lvlJc w:val="left"/>
      <w:pPr>
        <w:ind w:left="3040" w:hanging="440"/>
      </w:pPr>
      <w:rPr>
        <w:rFonts w:hint="eastAsia"/>
      </w:rPr>
    </w:lvl>
    <w:lvl w:ilvl="5" w:tentative="0">
      <w:start w:val="1"/>
      <w:numFmt w:val="lowerRoman"/>
      <w:lvlText w:val="%6."/>
      <w:lvlJc w:val="right"/>
      <w:pPr>
        <w:ind w:left="3480" w:hanging="440"/>
      </w:pPr>
      <w:rPr>
        <w:rFonts w:hint="eastAsia"/>
      </w:rPr>
    </w:lvl>
    <w:lvl w:ilvl="6" w:tentative="0">
      <w:start w:val="1"/>
      <w:numFmt w:val="decimal"/>
      <w:lvlText w:val="%7."/>
      <w:lvlJc w:val="left"/>
      <w:pPr>
        <w:ind w:left="3920" w:hanging="440"/>
      </w:pPr>
      <w:rPr>
        <w:rFonts w:hint="eastAsia"/>
      </w:rPr>
    </w:lvl>
    <w:lvl w:ilvl="7" w:tentative="0">
      <w:start w:val="1"/>
      <w:numFmt w:val="lowerLetter"/>
      <w:lvlText w:val="%8)"/>
      <w:lvlJc w:val="left"/>
      <w:pPr>
        <w:ind w:left="4360" w:hanging="440"/>
      </w:pPr>
      <w:rPr>
        <w:rFonts w:hint="eastAsia"/>
      </w:rPr>
    </w:lvl>
    <w:lvl w:ilvl="8" w:tentative="0">
      <w:start w:val="1"/>
      <w:numFmt w:val="lowerRoman"/>
      <w:lvlText w:val="%9."/>
      <w:lvlJc w:val="right"/>
      <w:pPr>
        <w:ind w:left="4800" w:hanging="440"/>
      </w:pPr>
      <w:rPr>
        <w:rFonts w:hint="eastAsia"/>
      </w:rPr>
    </w:lvl>
  </w:abstractNum>
  <w:abstractNum w:abstractNumId="18">
    <w:nsid w:val="1D476744"/>
    <w:multiLevelType w:val="multilevel"/>
    <w:tmpl w:val="1D476744"/>
    <w:lvl w:ilvl="0" w:tentative="0">
      <w:start w:val="1"/>
      <w:numFmt w:val="lowerLetter"/>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9">
    <w:nsid w:val="20FA5D7F"/>
    <w:multiLevelType w:val="multilevel"/>
    <w:tmpl w:val="20FA5D7F"/>
    <w:lvl w:ilvl="0" w:tentative="0">
      <w:start w:val="1"/>
      <w:numFmt w:val="lowerLetter"/>
      <w:lvlText w:val="%1)"/>
      <w:lvlJc w:val="left"/>
      <w:pPr>
        <w:ind w:left="862" w:hanging="442"/>
      </w:pPr>
      <w:rPr>
        <w:rFonts w:hint="default"/>
      </w:rPr>
    </w:lvl>
    <w:lvl w:ilvl="1" w:tentative="0">
      <w:start w:val="1"/>
      <w:numFmt w:val="lowerLetter"/>
      <w:lvlText w:val="%2)"/>
      <w:lvlJc w:val="left"/>
      <w:pPr>
        <w:ind w:left="1720" w:hanging="440"/>
      </w:pPr>
      <w:rPr>
        <w:rFonts w:hint="eastAsia"/>
      </w:rPr>
    </w:lvl>
    <w:lvl w:ilvl="2" w:tentative="0">
      <w:start w:val="1"/>
      <w:numFmt w:val="lowerRoman"/>
      <w:lvlText w:val="%3."/>
      <w:lvlJc w:val="right"/>
      <w:pPr>
        <w:ind w:left="2160" w:hanging="440"/>
      </w:pPr>
      <w:rPr>
        <w:rFonts w:hint="eastAsia"/>
      </w:rPr>
    </w:lvl>
    <w:lvl w:ilvl="3" w:tentative="0">
      <w:start w:val="1"/>
      <w:numFmt w:val="decimal"/>
      <w:lvlText w:val="%4."/>
      <w:lvlJc w:val="left"/>
      <w:pPr>
        <w:ind w:left="2600" w:hanging="440"/>
      </w:pPr>
      <w:rPr>
        <w:rFonts w:hint="eastAsia"/>
      </w:rPr>
    </w:lvl>
    <w:lvl w:ilvl="4" w:tentative="0">
      <w:start w:val="1"/>
      <w:numFmt w:val="lowerLetter"/>
      <w:lvlText w:val="%5)"/>
      <w:lvlJc w:val="left"/>
      <w:pPr>
        <w:ind w:left="3040" w:hanging="440"/>
      </w:pPr>
      <w:rPr>
        <w:rFonts w:hint="eastAsia"/>
      </w:rPr>
    </w:lvl>
    <w:lvl w:ilvl="5" w:tentative="0">
      <w:start w:val="1"/>
      <w:numFmt w:val="lowerRoman"/>
      <w:lvlText w:val="%6."/>
      <w:lvlJc w:val="right"/>
      <w:pPr>
        <w:ind w:left="3480" w:hanging="440"/>
      </w:pPr>
      <w:rPr>
        <w:rFonts w:hint="eastAsia"/>
      </w:rPr>
    </w:lvl>
    <w:lvl w:ilvl="6" w:tentative="0">
      <w:start w:val="1"/>
      <w:numFmt w:val="decimal"/>
      <w:lvlText w:val="%7."/>
      <w:lvlJc w:val="left"/>
      <w:pPr>
        <w:ind w:left="3920" w:hanging="440"/>
      </w:pPr>
      <w:rPr>
        <w:rFonts w:hint="eastAsia"/>
      </w:rPr>
    </w:lvl>
    <w:lvl w:ilvl="7" w:tentative="0">
      <w:start w:val="1"/>
      <w:numFmt w:val="lowerLetter"/>
      <w:lvlText w:val="%8)"/>
      <w:lvlJc w:val="left"/>
      <w:pPr>
        <w:ind w:left="4360" w:hanging="440"/>
      </w:pPr>
      <w:rPr>
        <w:rFonts w:hint="eastAsia"/>
      </w:rPr>
    </w:lvl>
    <w:lvl w:ilvl="8" w:tentative="0">
      <w:start w:val="1"/>
      <w:numFmt w:val="lowerRoman"/>
      <w:lvlText w:val="%9."/>
      <w:lvlJc w:val="right"/>
      <w:pPr>
        <w:ind w:left="4800" w:hanging="440"/>
      </w:pPr>
      <w:rPr>
        <w:rFonts w:hint="eastAsia"/>
      </w:rPr>
    </w:lvl>
  </w:abstractNum>
  <w:abstractNum w:abstractNumId="20">
    <w:nsid w:val="2488205B"/>
    <w:multiLevelType w:val="multilevel"/>
    <w:tmpl w:val="2488205B"/>
    <w:lvl w:ilvl="0" w:tentative="0">
      <w:start w:val="1"/>
      <w:numFmt w:val="lowerLetter"/>
      <w:lvlText w:val="%1)"/>
      <w:lvlJc w:val="left"/>
      <w:pPr>
        <w:ind w:left="862" w:hanging="442"/>
      </w:pPr>
      <w:rPr>
        <w:rFonts w:hint="default"/>
      </w:rPr>
    </w:lvl>
    <w:lvl w:ilvl="1" w:tentative="0">
      <w:start w:val="1"/>
      <w:numFmt w:val="lowerLetter"/>
      <w:lvlText w:val="%2)"/>
      <w:lvlJc w:val="left"/>
      <w:pPr>
        <w:ind w:left="1720" w:hanging="440"/>
      </w:pPr>
      <w:rPr>
        <w:rFonts w:hint="eastAsia"/>
      </w:rPr>
    </w:lvl>
    <w:lvl w:ilvl="2" w:tentative="0">
      <w:start w:val="1"/>
      <w:numFmt w:val="lowerRoman"/>
      <w:lvlText w:val="%3."/>
      <w:lvlJc w:val="right"/>
      <w:pPr>
        <w:ind w:left="2160" w:hanging="440"/>
      </w:pPr>
      <w:rPr>
        <w:rFonts w:hint="eastAsia"/>
      </w:rPr>
    </w:lvl>
    <w:lvl w:ilvl="3" w:tentative="0">
      <w:start w:val="1"/>
      <w:numFmt w:val="decimal"/>
      <w:lvlText w:val="%4."/>
      <w:lvlJc w:val="left"/>
      <w:pPr>
        <w:ind w:left="2600" w:hanging="440"/>
      </w:pPr>
      <w:rPr>
        <w:rFonts w:hint="eastAsia"/>
      </w:rPr>
    </w:lvl>
    <w:lvl w:ilvl="4" w:tentative="0">
      <w:start w:val="1"/>
      <w:numFmt w:val="lowerLetter"/>
      <w:lvlText w:val="%5)"/>
      <w:lvlJc w:val="left"/>
      <w:pPr>
        <w:ind w:left="3040" w:hanging="440"/>
      </w:pPr>
      <w:rPr>
        <w:rFonts w:hint="eastAsia"/>
      </w:rPr>
    </w:lvl>
    <w:lvl w:ilvl="5" w:tentative="0">
      <w:start w:val="1"/>
      <w:numFmt w:val="lowerRoman"/>
      <w:lvlText w:val="%6."/>
      <w:lvlJc w:val="right"/>
      <w:pPr>
        <w:ind w:left="3480" w:hanging="440"/>
      </w:pPr>
      <w:rPr>
        <w:rFonts w:hint="eastAsia"/>
      </w:rPr>
    </w:lvl>
    <w:lvl w:ilvl="6" w:tentative="0">
      <w:start w:val="1"/>
      <w:numFmt w:val="decimal"/>
      <w:lvlText w:val="%7."/>
      <w:lvlJc w:val="left"/>
      <w:pPr>
        <w:ind w:left="3920" w:hanging="440"/>
      </w:pPr>
      <w:rPr>
        <w:rFonts w:hint="eastAsia"/>
      </w:rPr>
    </w:lvl>
    <w:lvl w:ilvl="7" w:tentative="0">
      <w:start w:val="1"/>
      <w:numFmt w:val="lowerLetter"/>
      <w:lvlText w:val="%8)"/>
      <w:lvlJc w:val="left"/>
      <w:pPr>
        <w:ind w:left="4360" w:hanging="440"/>
      </w:pPr>
      <w:rPr>
        <w:rFonts w:hint="eastAsia"/>
      </w:rPr>
    </w:lvl>
    <w:lvl w:ilvl="8" w:tentative="0">
      <w:start w:val="1"/>
      <w:numFmt w:val="lowerRoman"/>
      <w:lvlText w:val="%9."/>
      <w:lvlJc w:val="right"/>
      <w:pPr>
        <w:ind w:left="4800" w:hanging="440"/>
      </w:pPr>
      <w:rPr>
        <w:rFonts w:hint="eastAsia"/>
      </w:rPr>
    </w:lvl>
  </w:abstractNum>
  <w:abstractNum w:abstractNumId="21">
    <w:nsid w:val="267812C7"/>
    <w:multiLevelType w:val="multilevel"/>
    <w:tmpl w:val="267812C7"/>
    <w:lvl w:ilvl="0" w:tentative="0">
      <w:start w:val="1"/>
      <w:numFmt w:val="lowerLetter"/>
      <w:lvlText w:val="%1)"/>
      <w:lvlJc w:val="left"/>
      <w:pPr>
        <w:ind w:left="862" w:hanging="442"/>
      </w:pPr>
      <w:rPr>
        <w:rFonts w:hint="default"/>
      </w:rPr>
    </w:lvl>
    <w:lvl w:ilvl="1" w:tentative="0">
      <w:start w:val="1"/>
      <w:numFmt w:val="lowerLetter"/>
      <w:lvlText w:val="%2)"/>
      <w:lvlJc w:val="left"/>
      <w:pPr>
        <w:ind w:left="1720" w:hanging="440"/>
      </w:pPr>
      <w:rPr>
        <w:rFonts w:hint="eastAsia"/>
      </w:rPr>
    </w:lvl>
    <w:lvl w:ilvl="2" w:tentative="0">
      <w:start w:val="1"/>
      <w:numFmt w:val="lowerRoman"/>
      <w:lvlText w:val="%3."/>
      <w:lvlJc w:val="right"/>
      <w:pPr>
        <w:ind w:left="2160" w:hanging="440"/>
      </w:pPr>
      <w:rPr>
        <w:rFonts w:hint="eastAsia"/>
      </w:rPr>
    </w:lvl>
    <w:lvl w:ilvl="3" w:tentative="0">
      <w:start w:val="1"/>
      <w:numFmt w:val="decimal"/>
      <w:lvlText w:val="%4."/>
      <w:lvlJc w:val="left"/>
      <w:pPr>
        <w:ind w:left="2600" w:hanging="440"/>
      </w:pPr>
      <w:rPr>
        <w:rFonts w:hint="eastAsia"/>
      </w:rPr>
    </w:lvl>
    <w:lvl w:ilvl="4" w:tentative="0">
      <w:start w:val="1"/>
      <w:numFmt w:val="lowerLetter"/>
      <w:lvlText w:val="%5)"/>
      <w:lvlJc w:val="left"/>
      <w:pPr>
        <w:ind w:left="3040" w:hanging="440"/>
      </w:pPr>
      <w:rPr>
        <w:rFonts w:hint="eastAsia"/>
      </w:rPr>
    </w:lvl>
    <w:lvl w:ilvl="5" w:tentative="0">
      <w:start w:val="1"/>
      <w:numFmt w:val="lowerRoman"/>
      <w:lvlText w:val="%6."/>
      <w:lvlJc w:val="right"/>
      <w:pPr>
        <w:ind w:left="3480" w:hanging="440"/>
      </w:pPr>
      <w:rPr>
        <w:rFonts w:hint="eastAsia"/>
      </w:rPr>
    </w:lvl>
    <w:lvl w:ilvl="6" w:tentative="0">
      <w:start w:val="1"/>
      <w:numFmt w:val="decimal"/>
      <w:lvlText w:val="%7."/>
      <w:lvlJc w:val="left"/>
      <w:pPr>
        <w:ind w:left="3920" w:hanging="440"/>
      </w:pPr>
      <w:rPr>
        <w:rFonts w:hint="eastAsia"/>
      </w:rPr>
    </w:lvl>
    <w:lvl w:ilvl="7" w:tentative="0">
      <w:start w:val="1"/>
      <w:numFmt w:val="lowerLetter"/>
      <w:lvlText w:val="%8)"/>
      <w:lvlJc w:val="left"/>
      <w:pPr>
        <w:ind w:left="4360" w:hanging="440"/>
      </w:pPr>
      <w:rPr>
        <w:rFonts w:hint="eastAsia"/>
      </w:rPr>
    </w:lvl>
    <w:lvl w:ilvl="8" w:tentative="0">
      <w:start w:val="1"/>
      <w:numFmt w:val="lowerRoman"/>
      <w:lvlText w:val="%9."/>
      <w:lvlJc w:val="right"/>
      <w:pPr>
        <w:ind w:left="4800" w:hanging="440"/>
      </w:pPr>
      <w:rPr>
        <w:rFonts w:hint="eastAsia"/>
      </w:rPr>
    </w:lvl>
  </w:abstractNum>
  <w:abstractNum w:abstractNumId="22">
    <w:nsid w:val="282310A1"/>
    <w:multiLevelType w:val="multilevel"/>
    <w:tmpl w:val="282310A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2C241784"/>
    <w:multiLevelType w:val="multilevel"/>
    <w:tmpl w:val="2C241784"/>
    <w:lvl w:ilvl="0" w:tentative="0">
      <w:start w:val="1"/>
      <w:numFmt w:val="lowerLetter"/>
      <w:lvlText w:val="%1)"/>
      <w:lvlJc w:val="left"/>
      <w:pPr>
        <w:ind w:left="86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2E313D8A"/>
    <w:multiLevelType w:val="multilevel"/>
    <w:tmpl w:val="2E313D8A"/>
    <w:lvl w:ilvl="0" w:tentative="0">
      <w:start w:val="1"/>
      <w:numFmt w:val="decimal"/>
      <w:lvlText w:val="%1)"/>
      <w:lvlJc w:val="left"/>
      <w:pPr>
        <w:ind w:left="1280" w:hanging="440"/>
      </w:pPr>
      <w:rPr>
        <w:rFonts w:hint="default"/>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25">
    <w:nsid w:val="2F2841E7"/>
    <w:multiLevelType w:val="multilevel"/>
    <w:tmpl w:val="2F2841E7"/>
    <w:lvl w:ilvl="0" w:tentative="0">
      <w:start w:val="1"/>
      <w:numFmt w:val="decimal"/>
      <w:lvlText w:val="%1)"/>
      <w:lvlJc w:val="left"/>
      <w:pPr>
        <w:ind w:left="1280" w:hanging="440"/>
      </w:pPr>
      <w:rPr>
        <w:rFonts w:hint="default"/>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26">
    <w:nsid w:val="2F337DFE"/>
    <w:multiLevelType w:val="multilevel"/>
    <w:tmpl w:val="2F337DFE"/>
    <w:lvl w:ilvl="0" w:tentative="0">
      <w:start w:val="1"/>
      <w:numFmt w:val="lowerLetter"/>
      <w:lvlText w:val="%1)"/>
      <w:lvlJc w:val="left"/>
      <w:pPr>
        <w:ind w:left="862" w:hanging="442"/>
      </w:pPr>
      <w:rPr>
        <w:rFonts w:hint="default"/>
      </w:rPr>
    </w:lvl>
    <w:lvl w:ilvl="1" w:tentative="0">
      <w:start w:val="1"/>
      <w:numFmt w:val="lowerLetter"/>
      <w:lvlText w:val="%2)"/>
      <w:lvlJc w:val="left"/>
      <w:pPr>
        <w:ind w:left="1720" w:hanging="440"/>
      </w:pPr>
      <w:rPr>
        <w:rFonts w:hint="eastAsia"/>
      </w:rPr>
    </w:lvl>
    <w:lvl w:ilvl="2" w:tentative="0">
      <w:start w:val="1"/>
      <w:numFmt w:val="lowerRoman"/>
      <w:lvlText w:val="%3."/>
      <w:lvlJc w:val="right"/>
      <w:pPr>
        <w:ind w:left="2160" w:hanging="440"/>
      </w:pPr>
      <w:rPr>
        <w:rFonts w:hint="eastAsia"/>
      </w:rPr>
    </w:lvl>
    <w:lvl w:ilvl="3" w:tentative="0">
      <w:start w:val="1"/>
      <w:numFmt w:val="decimal"/>
      <w:lvlText w:val="%4."/>
      <w:lvlJc w:val="left"/>
      <w:pPr>
        <w:ind w:left="2600" w:hanging="440"/>
      </w:pPr>
      <w:rPr>
        <w:rFonts w:hint="eastAsia"/>
      </w:rPr>
    </w:lvl>
    <w:lvl w:ilvl="4" w:tentative="0">
      <w:start w:val="1"/>
      <w:numFmt w:val="lowerLetter"/>
      <w:lvlText w:val="%5)"/>
      <w:lvlJc w:val="left"/>
      <w:pPr>
        <w:ind w:left="3040" w:hanging="440"/>
      </w:pPr>
      <w:rPr>
        <w:rFonts w:hint="eastAsia"/>
      </w:rPr>
    </w:lvl>
    <w:lvl w:ilvl="5" w:tentative="0">
      <w:start w:val="1"/>
      <w:numFmt w:val="lowerRoman"/>
      <w:lvlText w:val="%6."/>
      <w:lvlJc w:val="right"/>
      <w:pPr>
        <w:ind w:left="3480" w:hanging="440"/>
      </w:pPr>
      <w:rPr>
        <w:rFonts w:hint="eastAsia"/>
      </w:rPr>
    </w:lvl>
    <w:lvl w:ilvl="6" w:tentative="0">
      <w:start w:val="1"/>
      <w:numFmt w:val="decimal"/>
      <w:lvlText w:val="%7."/>
      <w:lvlJc w:val="left"/>
      <w:pPr>
        <w:ind w:left="3920" w:hanging="440"/>
      </w:pPr>
      <w:rPr>
        <w:rFonts w:hint="eastAsia"/>
      </w:rPr>
    </w:lvl>
    <w:lvl w:ilvl="7" w:tentative="0">
      <w:start w:val="1"/>
      <w:numFmt w:val="lowerLetter"/>
      <w:lvlText w:val="%8)"/>
      <w:lvlJc w:val="left"/>
      <w:pPr>
        <w:ind w:left="4360" w:hanging="440"/>
      </w:pPr>
      <w:rPr>
        <w:rFonts w:hint="eastAsia"/>
      </w:rPr>
    </w:lvl>
    <w:lvl w:ilvl="8" w:tentative="0">
      <w:start w:val="1"/>
      <w:numFmt w:val="lowerRoman"/>
      <w:lvlText w:val="%9."/>
      <w:lvlJc w:val="right"/>
      <w:pPr>
        <w:ind w:left="4800" w:hanging="440"/>
      </w:pPr>
      <w:rPr>
        <w:rFonts w:hint="eastAsia"/>
      </w:rPr>
    </w:lvl>
  </w:abstractNum>
  <w:abstractNum w:abstractNumId="27">
    <w:nsid w:val="36476FE9"/>
    <w:multiLevelType w:val="multilevel"/>
    <w:tmpl w:val="36476FE9"/>
    <w:lvl w:ilvl="0" w:tentative="0">
      <w:start w:val="1"/>
      <w:numFmt w:val="decimal"/>
      <w:lvlText w:val="%1)"/>
      <w:lvlJc w:val="left"/>
      <w:pPr>
        <w:ind w:left="1280" w:hanging="440"/>
      </w:pPr>
      <w:rPr>
        <w:rFonts w:hint="default"/>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28">
    <w:nsid w:val="3B044D64"/>
    <w:multiLevelType w:val="multilevel"/>
    <w:tmpl w:val="3B044D64"/>
    <w:lvl w:ilvl="0" w:tentative="0">
      <w:start w:val="1"/>
      <w:numFmt w:val="decimal"/>
      <w:lvlText w:val="%1)"/>
      <w:lvlJc w:val="left"/>
      <w:pPr>
        <w:ind w:left="1280" w:hanging="440"/>
      </w:pPr>
      <w:rPr>
        <w:rFonts w:hint="default"/>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29">
    <w:nsid w:val="3D220C94"/>
    <w:multiLevelType w:val="multilevel"/>
    <w:tmpl w:val="3D220C94"/>
    <w:lvl w:ilvl="0" w:tentative="0">
      <w:start w:val="1"/>
      <w:numFmt w:val="lowerLetter"/>
      <w:lvlText w:val="%1)"/>
      <w:lvlJc w:val="left"/>
      <w:pPr>
        <w:ind w:left="862" w:hanging="442"/>
      </w:pPr>
      <w:rPr>
        <w:rFonts w:hint="default"/>
      </w:rPr>
    </w:lvl>
    <w:lvl w:ilvl="1" w:tentative="0">
      <w:start w:val="1"/>
      <w:numFmt w:val="lowerLetter"/>
      <w:lvlText w:val="%2)"/>
      <w:lvlJc w:val="left"/>
      <w:pPr>
        <w:ind w:left="1720" w:hanging="440"/>
      </w:pPr>
      <w:rPr>
        <w:rFonts w:hint="eastAsia"/>
      </w:rPr>
    </w:lvl>
    <w:lvl w:ilvl="2" w:tentative="0">
      <w:start w:val="1"/>
      <w:numFmt w:val="lowerRoman"/>
      <w:lvlText w:val="%3."/>
      <w:lvlJc w:val="right"/>
      <w:pPr>
        <w:ind w:left="2160" w:hanging="440"/>
      </w:pPr>
      <w:rPr>
        <w:rFonts w:hint="eastAsia"/>
      </w:rPr>
    </w:lvl>
    <w:lvl w:ilvl="3" w:tentative="0">
      <w:start w:val="1"/>
      <w:numFmt w:val="decimal"/>
      <w:lvlText w:val="%4."/>
      <w:lvlJc w:val="left"/>
      <w:pPr>
        <w:ind w:left="2600" w:hanging="440"/>
      </w:pPr>
      <w:rPr>
        <w:rFonts w:hint="eastAsia"/>
      </w:rPr>
    </w:lvl>
    <w:lvl w:ilvl="4" w:tentative="0">
      <w:start w:val="1"/>
      <w:numFmt w:val="lowerLetter"/>
      <w:lvlText w:val="%5)"/>
      <w:lvlJc w:val="left"/>
      <w:pPr>
        <w:ind w:left="3040" w:hanging="440"/>
      </w:pPr>
      <w:rPr>
        <w:rFonts w:hint="eastAsia"/>
      </w:rPr>
    </w:lvl>
    <w:lvl w:ilvl="5" w:tentative="0">
      <w:start w:val="1"/>
      <w:numFmt w:val="lowerRoman"/>
      <w:lvlText w:val="%6."/>
      <w:lvlJc w:val="right"/>
      <w:pPr>
        <w:ind w:left="3480" w:hanging="440"/>
      </w:pPr>
      <w:rPr>
        <w:rFonts w:hint="eastAsia"/>
      </w:rPr>
    </w:lvl>
    <w:lvl w:ilvl="6" w:tentative="0">
      <w:start w:val="1"/>
      <w:numFmt w:val="decimal"/>
      <w:lvlText w:val="%7."/>
      <w:lvlJc w:val="left"/>
      <w:pPr>
        <w:ind w:left="3920" w:hanging="440"/>
      </w:pPr>
      <w:rPr>
        <w:rFonts w:hint="eastAsia"/>
      </w:rPr>
    </w:lvl>
    <w:lvl w:ilvl="7" w:tentative="0">
      <w:start w:val="1"/>
      <w:numFmt w:val="lowerLetter"/>
      <w:lvlText w:val="%8)"/>
      <w:lvlJc w:val="left"/>
      <w:pPr>
        <w:ind w:left="4360" w:hanging="440"/>
      </w:pPr>
      <w:rPr>
        <w:rFonts w:hint="eastAsia"/>
      </w:rPr>
    </w:lvl>
    <w:lvl w:ilvl="8" w:tentative="0">
      <w:start w:val="1"/>
      <w:numFmt w:val="lowerRoman"/>
      <w:lvlText w:val="%9."/>
      <w:lvlJc w:val="right"/>
      <w:pPr>
        <w:ind w:left="4800" w:hanging="440"/>
      </w:pPr>
      <w:rPr>
        <w:rFonts w:hint="eastAsia"/>
      </w:rPr>
    </w:lvl>
  </w:abstractNum>
  <w:abstractNum w:abstractNumId="30">
    <w:nsid w:val="42F045F9"/>
    <w:multiLevelType w:val="multilevel"/>
    <w:tmpl w:val="42F045F9"/>
    <w:lvl w:ilvl="0" w:tentative="0">
      <w:start w:val="1"/>
      <w:numFmt w:val="lowerLetter"/>
      <w:lvlText w:val="%1)"/>
      <w:lvlJc w:val="left"/>
      <w:pPr>
        <w:ind w:left="862" w:hanging="442"/>
      </w:pPr>
      <w:rPr>
        <w:rFonts w:hint="default"/>
      </w:rPr>
    </w:lvl>
    <w:lvl w:ilvl="1" w:tentative="0">
      <w:start w:val="1"/>
      <w:numFmt w:val="lowerLetter"/>
      <w:lvlText w:val="%2)"/>
      <w:lvlJc w:val="left"/>
      <w:pPr>
        <w:ind w:left="1720" w:hanging="440"/>
      </w:pPr>
      <w:rPr>
        <w:rFonts w:hint="eastAsia"/>
      </w:rPr>
    </w:lvl>
    <w:lvl w:ilvl="2" w:tentative="0">
      <w:start w:val="1"/>
      <w:numFmt w:val="lowerRoman"/>
      <w:lvlText w:val="%3."/>
      <w:lvlJc w:val="right"/>
      <w:pPr>
        <w:ind w:left="2160" w:hanging="440"/>
      </w:pPr>
      <w:rPr>
        <w:rFonts w:hint="eastAsia"/>
      </w:rPr>
    </w:lvl>
    <w:lvl w:ilvl="3" w:tentative="0">
      <w:start w:val="1"/>
      <w:numFmt w:val="decimal"/>
      <w:lvlText w:val="%4."/>
      <w:lvlJc w:val="left"/>
      <w:pPr>
        <w:ind w:left="2600" w:hanging="440"/>
      </w:pPr>
      <w:rPr>
        <w:rFonts w:hint="eastAsia"/>
      </w:rPr>
    </w:lvl>
    <w:lvl w:ilvl="4" w:tentative="0">
      <w:start w:val="1"/>
      <w:numFmt w:val="lowerLetter"/>
      <w:lvlText w:val="%5)"/>
      <w:lvlJc w:val="left"/>
      <w:pPr>
        <w:ind w:left="3040" w:hanging="440"/>
      </w:pPr>
      <w:rPr>
        <w:rFonts w:hint="eastAsia"/>
      </w:rPr>
    </w:lvl>
    <w:lvl w:ilvl="5" w:tentative="0">
      <w:start w:val="1"/>
      <w:numFmt w:val="lowerRoman"/>
      <w:lvlText w:val="%6."/>
      <w:lvlJc w:val="right"/>
      <w:pPr>
        <w:ind w:left="3480" w:hanging="440"/>
      </w:pPr>
      <w:rPr>
        <w:rFonts w:hint="eastAsia"/>
      </w:rPr>
    </w:lvl>
    <w:lvl w:ilvl="6" w:tentative="0">
      <w:start w:val="1"/>
      <w:numFmt w:val="decimal"/>
      <w:lvlText w:val="%7."/>
      <w:lvlJc w:val="left"/>
      <w:pPr>
        <w:ind w:left="3920" w:hanging="440"/>
      </w:pPr>
      <w:rPr>
        <w:rFonts w:hint="eastAsia"/>
      </w:rPr>
    </w:lvl>
    <w:lvl w:ilvl="7" w:tentative="0">
      <w:start w:val="1"/>
      <w:numFmt w:val="lowerLetter"/>
      <w:lvlText w:val="%8)"/>
      <w:lvlJc w:val="left"/>
      <w:pPr>
        <w:ind w:left="4360" w:hanging="440"/>
      </w:pPr>
      <w:rPr>
        <w:rFonts w:hint="eastAsia"/>
      </w:rPr>
    </w:lvl>
    <w:lvl w:ilvl="8" w:tentative="0">
      <w:start w:val="1"/>
      <w:numFmt w:val="lowerRoman"/>
      <w:lvlText w:val="%9."/>
      <w:lvlJc w:val="right"/>
      <w:pPr>
        <w:ind w:left="4800" w:hanging="440"/>
      </w:pPr>
      <w:rPr>
        <w:rFonts w:hint="eastAsia"/>
      </w:rPr>
    </w:lvl>
  </w:abstractNum>
  <w:abstractNum w:abstractNumId="31">
    <w:nsid w:val="444020DA"/>
    <w:multiLevelType w:val="multilevel"/>
    <w:tmpl w:val="444020DA"/>
    <w:lvl w:ilvl="0" w:tentative="0">
      <w:start w:val="1"/>
      <w:numFmt w:val="decimal"/>
      <w:lvlText w:val="%1)"/>
      <w:lvlJc w:val="left"/>
      <w:pPr>
        <w:ind w:left="1280" w:hanging="440"/>
      </w:pPr>
      <w:rPr>
        <w:rFonts w:hint="default"/>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32">
    <w:nsid w:val="459702E6"/>
    <w:multiLevelType w:val="multilevel"/>
    <w:tmpl w:val="459702E6"/>
    <w:lvl w:ilvl="0" w:tentative="0">
      <w:start w:val="1"/>
      <w:numFmt w:val="lowerLetter"/>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3">
    <w:nsid w:val="485D65C8"/>
    <w:multiLevelType w:val="multilevel"/>
    <w:tmpl w:val="485D65C8"/>
    <w:lvl w:ilvl="0" w:tentative="0">
      <w:start w:val="1"/>
      <w:numFmt w:val="lowerLetter"/>
      <w:lvlText w:val="%1)"/>
      <w:lvlJc w:val="left"/>
      <w:pPr>
        <w:ind w:left="862" w:hanging="442"/>
      </w:pPr>
      <w:rPr>
        <w:rFonts w:hint="default"/>
      </w:rPr>
    </w:lvl>
    <w:lvl w:ilvl="1" w:tentative="0">
      <w:start w:val="1"/>
      <w:numFmt w:val="lowerLetter"/>
      <w:lvlText w:val="%2)"/>
      <w:lvlJc w:val="left"/>
      <w:pPr>
        <w:ind w:left="1720" w:hanging="440"/>
      </w:pPr>
      <w:rPr>
        <w:rFonts w:hint="eastAsia"/>
      </w:rPr>
    </w:lvl>
    <w:lvl w:ilvl="2" w:tentative="0">
      <w:start w:val="1"/>
      <w:numFmt w:val="lowerRoman"/>
      <w:lvlText w:val="%3."/>
      <w:lvlJc w:val="right"/>
      <w:pPr>
        <w:ind w:left="2160" w:hanging="440"/>
      </w:pPr>
      <w:rPr>
        <w:rFonts w:hint="eastAsia"/>
      </w:rPr>
    </w:lvl>
    <w:lvl w:ilvl="3" w:tentative="0">
      <w:start w:val="1"/>
      <w:numFmt w:val="decimal"/>
      <w:lvlText w:val="%4."/>
      <w:lvlJc w:val="left"/>
      <w:pPr>
        <w:ind w:left="2600" w:hanging="440"/>
      </w:pPr>
      <w:rPr>
        <w:rFonts w:hint="eastAsia"/>
      </w:rPr>
    </w:lvl>
    <w:lvl w:ilvl="4" w:tentative="0">
      <w:start w:val="1"/>
      <w:numFmt w:val="lowerLetter"/>
      <w:lvlText w:val="%5)"/>
      <w:lvlJc w:val="left"/>
      <w:pPr>
        <w:ind w:left="3040" w:hanging="440"/>
      </w:pPr>
      <w:rPr>
        <w:rFonts w:hint="eastAsia"/>
      </w:rPr>
    </w:lvl>
    <w:lvl w:ilvl="5" w:tentative="0">
      <w:start w:val="1"/>
      <w:numFmt w:val="lowerRoman"/>
      <w:lvlText w:val="%6."/>
      <w:lvlJc w:val="right"/>
      <w:pPr>
        <w:ind w:left="3480" w:hanging="440"/>
      </w:pPr>
      <w:rPr>
        <w:rFonts w:hint="eastAsia"/>
      </w:rPr>
    </w:lvl>
    <w:lvl w:ilvl="6" w:tentative="0">
      <w:start w:val="1"/>
      <w:numFmt w:val="decimal"/>
      <w:lvlText w:val="%7."/>
      <w:lvlJc w:val="left"/>
      <w:pPr>
        <w:ind w:left="3920" w:hanging="440"/>
      </w:pPr>
      <w:rPr>
        <w:rFonts w:hint="eastAsia"/>
      </w:rPr>
    </w:lvl>
    <w:lvl w:ilvl="7" w:tentative="0">
      <w:start w:val="1"/>
      <w:numFmt w:val="lowerLetter"/>
      <w:lvlText w:val="%8)"/>
      <w:lvlJc w:val="left"/>
      <w:pPr>
        <w:ind w:left="4360" w:hanging="440"/>
      </w:pPr>
      <w:rPr>
        <w:rFonts w:hint="eastAsia"/>
      </w:rPr>
    </w:lvl>
    <w:lvl w:ilvl="8" w:tentative="0">
      <w:start w:val="1"/>
      <w:numFmt w:val="lowerRoman"/>
      <w:lvlText w:val="%9."/>
      <w:lvlJc w:val="right"/>
      <w:pPr>
        <w:ind w:left="4800" w:hanging="440"/>
      </w:pPr>
      <w:rPr>
        <w:rFonts w:hint="eastAsia"/>
      </w:rPr>
    </w:lvl>
  </w:abstractNum>
  <w:abstractNum w:abstractNumId="34">
    <w:nsid w:val="4BD61247"/>
    <w:multiLevelType w:val="multilevel"/>
    <w:tmpl w:val="4BD61247"/>
    <w:lvl w:ilvl="0" w:tentative="0">
      <w:start w:val="1"/>
      <w:numFmt w:val="lowerLetter"/>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5">
    <w:nsid w:val="4D1C00E3"/>
    <w:multiLevelType w:val="multilevel"/>
    <w:tmpl w:val="4D1C00E3"/>
    <w:lvl w:ilvl="0" w:tentative="0">
      <w:start w:val="1"/>
      <w:numFmt w:val="lowerLetter"/>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6">
    <w:nsid w:val="4DAF7921"/>
    <w:multiLevelType w:val="multilevel"/>
    <w:tmpl w:val="4DAF7921"/>
    <w:lvl w:ilvl="0" w:tentative="0">
      <w:start w:val="1"/>
      <w:numFmt w:val="decimal"/>
      <w:lvlText w:val="%1)"/>
      <w:lvlJc w:val="left"/>
      <w:pPr>
        <w:ind w:left="1280" w:hanging="440"/>
      </w:pPr>
      <w:rPr>
        <w:rFonts w:hint="default"/>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37">
    <w:nsid w:val="4FA06AEC"/>
    <w:multiLevelType w:val="multilevel"/>
    <w:tmpl w:val="4FA06AEC"/>
    <w:lvl w:ilvl="0" w:tentative="0">
      <w:start w:val="1"/>
      <w:numFmt w:val="lowerLetter"/>
      <w:lvlText w:val="%1)"/>
      <w:lvlJc w:val="left"/>
      <w:pPr>
        <w:ind w:left="862" w:hanging="442"/>
      </w:pPr>
      <w:rPr>
        <w:rFonts w:hint="default"/>
      </w:rPr>
    </w:lvl>
    <w:lvl w:ilvl="1" w:tentative="0">
      <w:start w:val="1"/>
      <w:numFmt w:val="lowerLetter"/>
      <w:lvlText w:val="%2)"/>
      <w:lvlJc w:val="left"/>
      <w:pPr>
        <w:ind w:left="1720" w:hanging="440"/>
      </w:pPr>
      <w:rPr>
        <w:rFonts w:hint="eastAsia"/>
      </w:rPr>
    </w:lvl>
    <w:lvl w:ilvl="2" w:tentative="0">
      <w:start w:val="1"/>
      <w:numFmt w:val="lowerRoman"/>
      <w:lvlText w:val="%3."/>
      <w:lvlJc w:val="right"/>
      <w:pPr>
        <w:ind w:left="2160" w:hanging="440"/>
      </w:pPr>
      <w:rPr>
        <w:rFonts w:hint="eastAsia"/>
      </w:rPr>
    </w:lvl>
    <w:lvl w:ilvl="3" w:tentative="0">
      <w:start w:val="1"/>
      <w:numFmt w:val="decimal"/>
      <w:lvlText w:val="%4."/>
      <w:lvlJc w:val="left"/>
      <w:pPr>
        <w:ind w:left="2600" w:hanging="440"/>
      </w:pPr>
      <w:rPr>
        <w:rFonts w:hint="eastAsia"/>
      </w:rPr>
    </w:lvl>
    <w:lvl w:ilvl="4" w:tentative="0">
      <w:start w:val="1"/>
      <w:numFmt w:val="lowerLetter"/>
      <w:lvlText w:val="%5)"/>
      <w:lvlJc w:val="left"/>
      <w:pPr>
        <w:ind w:left="3040" w:hanging="440"/>
      </w:pPr>
      <w:rPr>
        <w:rFonts w:hint="eastAsia"/>
      </w:rPr>
    </w:lvl>
    <w:lvl w:ilvl="5" w:tentative="0">
      <w:start w:val="1"/>
      <w:numFmt w:val="lowerRoman"/>
      <w:lvlText w:val="%6."/>
      <w:lvlJc w:val="right"/>
      <w:pPr>
        <w:ind w:left="3480" w:hanging="440"/>
      </w:pPr>
      <w:rPr>
        <w:rFonts w:hint="eastAsia"/>
      </w:rPr>
    </w:lvl>
    <w:lvl w:ilvl="6" w:tentative="0">
      <w:start w:val="1"/>
      <w:numFmt w:val="decimal"/>
      <w:lvlText w:val="%7."/>
      <w:lvlJc w:val="left"/>
      <w:pPr>
        <w:ind w:left="3920" w:hanging="440"/>
      </w:pPr>
      <w:rPr>
        <w:rFonts w:hint="eastAsia"/>
      </w:rPr>
    </w:lvl>
    <w:lvl w:ilvl="7" w:tentative="0">
      <w:start w:val="1"/>
      <w:numFmt w:val="lowerLetter"/>
      <w:lvlText w:val="%8)"/>
      <w:lvlJc w:val="left"/>
      <w:pPr>
        <w:ind w:left="4360" w:hanging="440"/>
      </w:pPr>
      <w:rPr>
        <w:rFonts w:hint="eastAsia"/>
      </w:rPr>
    </w:lvl>
    <w:lvl w:ilvl="8" w:tentative="0">
      <w:start w:val="1"/>
      <w:numFmt w:val="lowerRoman"/>
      <w:lvlText w:val="%9."/>
      <w:lvlJc w:val="right"/>
      <w:pPr>
        <w:ind w:left="4800" w:hanging="440"/>
      </w:pPr>
      <w:rPr>
        <w:rFonts w:hint="eastAsia"/>
      </w:rPr>
    </w:lvl>
  </w:abstractNum>
  <w:abstractNum w:abstractNumId="38">
    <w:nsid w:val="55B25355"/>
    <w:multiLevelType w:val="multilevel"/>
    <w:tmpl w:val="55B25355"/>
    <w:lvl w:ilvl="0" w:tentative="0">
      <w:start w:val="1"/>
      <w:numFmt w:val="decimal"/>
      <w:lvlText w:val="%1)"/>
      <w:lvlJc w:val="left"/>
      <w:pPr>
        <w:ind w:left="1280" w:hanging="440"/>
      </w:pPr>
      <w:rPr>
        <w:rFonts w:hint="default"/>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39">
    <w:nsid w:val="582C61D8"/>
    <w:multiLevelType w:val="multilevel"/>
    <w:tmpl w:val="582C61D8"/>
    <w:lvl w:ilvl="0" w:tentative="0">
      <w:start w:val="1"/>
      <w:numFmt w:val="decimal"/>
      <w:lvlText w:val="%1)"/>
      <w:lvlJc w:val="left"/>
      <w:pPr>
        <w:ind w:left="1280" w:hanging="440"/>
      </w:pPr>
      <w:rPr>
        <w:rFonts w:hint="default"/>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40">
    <w:nsid w:val="5D89CCA7"/>
    <w:multiLevelType w:val="multilevel"/>
    <w:tmpl w:val="5D89CCA7"/>
    <w:lvl w:ilvl="0" w:tentative="0">
      <w:start w:val="1"/>
      <w:numFmt w:val="decimal"/>
      <w:suff w:val="nothing"/>
      <w:lvlText w:val="%1　"/>
      <w:lvlJc w:val="left"/>
      <w:pPr>
        <w:ind w:left="0" w:firstLine="0"/>
      </w:pPr>
      <w:rPr>
        <w:rFonts w:hint="default" w:ascii="宋体" w:hAnsi="宋体" w:eastAsia="宋体" w:cs="宋体"/>
        <w:b/>
        <w:i w:val="0"/>
        <w:sz w:val="21"/>
        <w:szCs w:val="21"/>
      </w:rPr>
    </w:lvl>
    <w:lvl w:ilvl="1" w:tentative="0">
      <w:start w:val="1"/>
      <w:numFmt w:val="decimal"/>
      <w:pStyle w:val="22"/>
      <w:suff w:val="nothing"/>
      <w:lvlText w:val="%1.%2　"/>
      <w:lvlJc w:val="left"/>
      <w:pPr>
        <w:tabs>
          <w:tab w:val="left" w:pos="0"/>
        </w:tabs>
        <w:ind w:left="0" w:firstLine="0"/>
      </w:pPr>
      <w:rPr>
        <w:rFonts w:hint="default" w:ascii="黑体" w:hAnsi="Times New Roman" w:eastAsia="黑体" w:cs="Times New Roman"/>
        <w:b/>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426" w:firstLine="0"/>
      </w:pPr>
      <w:rPr>
        <w:rFonts w:hint="eastAsia" w:ascii="黑体" w:hAnsi="Times New Roman" w:eastAsia="黑体"/>
        <w:b/>
        <w:i w:val="0"/>
        <w:sz w:val="21"/>
      </w:rPr>
    </w:lvl>
    <w:lvl w:ilvl="3" w:tentative="0">
      <w:start w:val="1"/>
      <w:numFmt w:val="decimal"/>
      <w:suff w:val="nothing"/>
      <w:lvlText w:val="%1.%2.%3.%4　"/>
      <w:lvlJc w:val="left"/>
      <w:pPr>
        <w:ind w:left="0" w:firstLine="0"/>
      </w:pPr>
      <w:rPr>
        <w:rFonts w:hint="eastAsia" w:ascii="黑体" w:hAnsi="Times New Roman" w:eastAsia="黑体"/>
        <w:b/>
        <w:i w:val="0"/>
        <w:sz w:val="21"/>
      </w:rPr>
    </w:lvl>
    <w:lvl w:ilvl="4" w:tentative="0">
      <w:start w:val="1"/>
      <w:numFmt w:val="decimal"/>
      <w:suff w:val="nothing"/>
      <w:lvlText w:val="%1.%2.%3.%4.%5　"/>
      <w:lvlJc w:val="left"/>
      <w:pPr>
        <w:ind w:left="525" w:firstLine="0"/>
      </w:pPr>
      <w:rPr>
        <w:rFonts w:hint="eastAsia" w:ascii="黑体" w:hAnsi="Times New Roman" w:eastAsia="黑体"/>
        <w:b/>
        <w:i w:val="0"/>
        <w:color w:val="000000"/>
        <w:sz w:val="21"/>
      </w:rPr>
    </w:lvl>
    <w:lvl w:ilvl="5" w:tentative="0">
      <w:start w:val="1"/>
      <w:numFmt w:val="decimal"/>
      <w:suff w:val="nothing"/>
      <w:lvlText w:val="%6"/>
      <w:lvlJc w:val="left"/>
      <w:pPr>
        <w:ind w:left="0" w:firstLine="0"/>
      </w:pPr>
      <w:rPr>
        <w:rFonts w:ascii="Times New Roman" w:hAnsi="Times New Roman" w:eastAsia="Times New Roman" w:cs="Times New Roman"/>
        <w:b w:val="0"/>
        <w:i w:val="0"/>
        <w:color w:val="auto"/>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1">
    <w:nsid w:val="608B0490"/>
    <w:multiLevelType w:val="multilevel"/>
    <w:tmpl w:val="608B0490"/>
    <w:lvl w:ilvl="0" w:tentative="0">
      <w:start w:val="1"/>
      <w:numFmt w:val="lowerLetter"/>
      <w:lvlText w:val="%1)"/>
      <w:lvlJc w:val="left"/>
      <w:pPr>
        <w:ind w:left="862" w:hanging="442"/>
      </w:pPr>
      <w:rPr>
        <w:rFonts w:hint="default"/>
      </w:rPr>
    </w:lvl>
    <w:lvl w:ilvl="1" w:tentative="0">
      <w:start w:val="1"/>
      <w:numFmt w:val="lowerLetter"/>
      <w:lvlText w:val="%2)"/>
      <w:lvlJc w:val="left"/>
      <w:pPr>
        <w:ind w:left="1720" w:hanging="440"/>
      </w:pPr>
      <w:rPr>
        <w:rFonts w:hint="eastAsia"/>
      </w:rPr>
    </w:lvl>
    <w:lvl w:ilvl="2" w:tentative="0">
      <w:start w:val="1"/>
      <w:numFmt w:val="lowerRoman"/>
      <w:lvlText w:val="%3."/>
      <w:lvlJc w:val="right"/>
      <w:pPr>
        <w:ind w:left="2160" w:hanging="440"/>
      </w:pPr>
      <w:rPr>
        <w:rFonts w:hint="eastAsia"/>
      </w:rPr>
    </w:lvl>
    <w:lvl w:ilvl="3" w:tentative="0">
      <w:start w:val="1"/>
      <w:numFmt w:val="decimal"/>
      <w:lvlText w:val="%4."/>
      <w:lvlJc w:val="left"/>
      <w:pPr>
        <w:ind w:left="2600" w:hanging="440"/>
      </w:pPr>
      <w:rPr>
        <w:rFonts w:hint="eastAsia"/>
      </w:rPr>
    </w:lvl>
    <w:lvl w:ilvl="4" w:tentative="0">
      <w:start w:val="1"/>
      <w:numFmt w:val="lowerLetter"/>
      <w:lvlText w:val="%5)"/>
      <w:lvlJc w:val="left"/>
      <w:pPr>
        <w:ind w:left="3040" w:hanging="440"/>
      </w:pPr>
      <w:rPr>
        <w:rFonts w:hint="eastAsia"/>
      </w:rPr>
    </w:lvl>
    <w:lvl w:ilvl="5" w:tentative="0">
      <w:start w:val="1"/>
      <w:numFmt w:val="lowerRoman"/>
      <w:lvlText w:val="%6."/>
      <w:lvlJc w:val="right"/>
      <w:pPr>
        <w:ind w:left="3480" w:hanging="440"/>
      </w:pPr>
      <w:rPr>
        <w:rFonts w:hint="eastAsia"/>
      </w:rPr>
    </w:lvl>
    <w:lvl w:ilvl="6" w:tentative="0">
      <w:start w:val="1"/>
      <w:numFmt w:val="decimal"/>
      <w:lvlText w:val="%7."/>
      <w:lvlJc w:val="left"/>
      <w:pPr>
        <w:ind w:left="3920" w:hanging="440"/>
      </w:pPr>
      <w:rPr>
        <w:rFonts w:hint="eastAsia"/>
      </w:rPr>
    </w:lvl>
    <w:lvl w:ilvl="7" w:tentative="0">
      <w:start w:val="1"/>
      <w:numFmt w:val="lowerLetter"/>
      <w:lvlText w:val="%8)"/>
      <w:lvlJc w:val="left"/>
      <w:pPr>
        <w:ind w:left="4360" w:hanging="440"/>
      </w:pPr>
      <w:rPr>
        <w:rFonts w:hint="eastAsia"/>
      </w:rPr>
    </w:lvl>
    <w:lvl w:ilvl="8" w:tentative="0">
      <w:start w:val="1"/>
      <w:numFmt w:val="lowerRoman"/>
      <w:lvlText w:val="%9."/>
      <w:lvlJc w:val="right"/>
      <w:pPr>
        <w:ind w:left="4800" w:hanging="440"/>
      </w:pPr>
      <w:rPr>
        <w:rFonts w:hint="eastAsia"/>
      </w:rPr>
    </w:lvl>
  </w:abstractNum>
  <w:abstractNum w:abstractNumId="42">
    <w:nsid w:val="60BE1ABC"/>
    <w:multiLevelType w:val="multilevel"/>
    <w:tmpl w:val="60BE1ABC"/>
    <w:lvl w:ilvl="0" w:tentative="0">
      <w:start w:val="1"/>
      <w:numFmt w:val="decimal"/>
      <w:lvlText w:val="%1)"/>
      <w:lvlJc w:val="left"/>
      <w:pPr>
        <w:ind w:left="1280" w:hanging="440"/>
      </w:pPr>
      <w:rPr>
        <w:rFonts w:hint="default"/>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43">
    <w:nsid w:val="648D3E7E"/>
    <w:multiLevelType w:val="multilevel"/>
    <w:tmpl w:val="648D3E7E"/>
    <w:lvl w:ilvl="0" w:tentative="0">
      <w:start w:val="1"/>
      <w:numFmt w:val="lowerLetter"/>
      <w:lvlText w:val="%1)"/>
      <w:lvlJc w:val="left"/>
      <w:pPr>
        <w:ind w:left="862" w:hanging="442"/>
      </w:pPr>
      <w:rPr>
        <w:rFonts w:hint="default"/>
      </w:rPr>
    </w:lvl>
    <w:lvl w:ilvl="1" w:tentative="0">
      <w:start w:val="1"/>
      <w:numFmt w:val="lowerLetter"/>
      <w:lvlText w:val="%2)"/>
      <w:lvlJc w:val="left"/>
      <w:pPr>
        <w:ind w:left="1720" w:hanging="440"/>
      </w:pPr>
      <w:rPr>
        <w:rFonts w:hint="eastAsia"/>
      </w:rPr>
    </w:lvl>
    <w:lvl w:ilvl="2" w:tentative="0">
      <w:start w:val="1"/>
      <w:numFmt w:val="lowerRoman"/>
      <w:lvlText w:val="%3."/>
      <w:lvlJc w:val="right"/>
      <w:pPr>
        <w:ind w:left="2160" w:hanging="440"/>
      </w:pPr>
      <w:rPr>
        <w:rFonts w:hint="eastAsia"/>
      </w:rPr>
    </w:lvl>
    <w:lvl w:ilvl="3" w:tentative="0">
      <w:start w:val="1"/>
      <w:numFmt w:val="decimal"/>
      <w:lvlText w:val="%4."/>
      <w:lvlJc w:val="left"/>
      <w:pPr>
        <w:ind w:left="2600" w:hanging="440"/>
      </w:pPr>
      <w:rPr>
        <w:rFonts w:hint="eastAsia"/>
      </w:rPr>
    </w:lvl>
    <w:lvl w:ilvl="4" w:tentative="0">
      <w:start w:val="1"/>
      <w:numFmt w:val="lowerLetter"/>
      <w:lvlText w:val="%5)"/>
      <w:lvlJc w:val="left"/>
      <w:pPr>
        <w:ind w:left="3040" w:hanging="440"/>
      </w:pPr>
      <w:rPr>
        <w:rFonts w:hint="eastAsia"/>
      </w:rPr>
    </w:lvl>
    <w:lvl w:ilvl="5" w:tentative="0">
      <w:start w:val="1"/>
      <w:numFmt w:val="lowerRoman"/>
      <w:lvlText w:val="%6."/>
      <w:lvlJc w:val="right"/>
      <w:pPr>
        <w:ind w:left="3480" w:hanging="440"/>
      </w:pPr>
      <w:rPr>
        <w:rFonts w:hint="eastAsia"/>
      </w:rPr>
    </w:lvl>
    <w:lvl w:ilvl="6" w:tentative="0">
      <w:start w:val="1"/>
      <w:numFmt w:val="decimal"/>
      <w:lvlText w:val="%7."/>
      <w:lvlJc w:val="left"/>
      <w:pPr>
        <w:ind w:left="3920" w:hanging="440"/>
      </w:pPr>
      <w:rPr>
        <w:rFonts w:hint="eastAsia"/>
      </w:rPr>
    </w:lvl>
    <w:lvl w:ilvl="7" w:tentative="0">
      <w:start w:val="1"/>
      <w:numFmt w:val="lowerLetter"/>
      <w:lvlText w:val="%8)"/>
      <w:lvlJc w:val="left"/>
      <w:pPr>
        <w:ind w:left="4360" w:hanging="440"/>
      </w:pPr>
      <w:rPr>
        <w:rFonts w:hint="eastAsia"/>
      </w:rPr>
    </w:lvl>
    <w:lvl w:ilvl="8" w:tentative="0">
      <w:start w:val="1"/>
      <w:numFmt w:val="lowerRoman"/>
      <w:lvlText w:val="%9."/>
      <w:lvlJc w:val="right"/>
      <w:pPr>
        <w:ind w:left="4800" w:hanging="440"/>
      </w:pPr>
      <w:rPr>
        <w:rFonts w:hint="eastAsia"/>
      </w:rPr>
    </w:lvl>
  </w:abstractNum>
  <w:abstractNum w:abstractNumId="44">
    <w:nsid w:val="68EB3FB5"/>
    <w:multiLevelType w:val="multilevel"/>
    <w:tmpl w:val="68EB3FB5"/>
    <w:lvl w:ilvl="0" w:tentative="0">
      <w:start w:val="1"/>
      <w:numFmt w:val="decimal"/>
      <w:lvlText w:val="%1)"/>
      <w:lvlJc w:val="left"/>
      <w:pPr>
        <w:ind w:left="1280" w:hanging="440"/>
      </w:pPr>
      <w:rPr>
        <w:rFonts w:hint="default"/>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45">
    <w:nsid w:val="6AB32A63"/>
    <w:multiLevelType w:val="multilevel"/>
    <w:tmpl w:val="6AB32A63"/>
    <w:lvl w:ilvl="0" w:tentative="0">
      <w:start w:val="1"/>
      <w:numFmt w:val="decimal"/>
      <w:lvlText w:val="%1)"/>
      <w:lvlJc w:val="left"/>
      <w:pPr>
        <w:ind w:left="1280" w:hanging="440"/>
      </w:pPr>
      <w:rPr>
        <w:rFonts w:hint="default"/>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46">
    <w:nsid w:val="6AF04913"/>
    <w:multiLevelType w:val="multilevel"/>
    <w:tmpl w:val="6AF04913"/>
    <w:lvl w:ilvl="0" w:tentative="0">
      <w:start w:val="1"/>
      <w:numFmt w:val="lowerLetter"/>
      <w:lvlText w:val="%1)"/>
      <w:lvlJc w:val="left"/>
      <w:pPr>
        <w:ind w:left="862" w:hanging="442"/>
      </w:pPr>
      <w:rPr>
        <w:rFonts w:hint="default"/>
      </w:rPr>
    </w:lvl>
    <w:lvl w:ilvl="1" w:tentative="0">
      <w:start w:val="1"/>
      <w:numFmt w:val="lowerLetter"/>
      <w:lvlText w:val="%2)"/>
      <w:lvlJc w:val="left"/>
      <w:pPr>
        <w:ind w:left="1720" w:hanging="440"/>
      </w:pPr>
      <w:rPr>
        <w:rFonts w:hint="eastAsia"/>
      </w:rPr>
    </w:lvl>
    <w:lvl w:ilvl="2" w:tentative="0">
      <w:start w:val="1"/>
      <w:numFmt w:val="lowerRoman"/>
      <w:lvlText w:val="%3."/>
      <w:lvlJc w:val="right"/>
      <w:pPr>
        <w:ind w:left="2160" w:hanging="440"/>
      </w:pPr>
      <w:rPr>
        <w:rFonts w:hint="eastAsia"/>
      </w:rPr>
    </w:lvl>
    <w:lvl w:ilvl="3" w:tentative="0">
      <w:start w:val="1"/>
      <w:numFmt w:val="decimal"/>
      <w:lvlText w:val="%4."/>
      <w:lvlJc w:val="left"/>
      <w:pPr>
        <w:ind w:left="2600" w:hanging="440"/>
      </w:pPr>
      <w:rPr>
        <w:rFonts w:hint="eastAsia"/>
      </w:rPr>
    </w:lvl>
    <w:lvl w:ilvl="4" w:tentative="0">
      <w:start w:val="1"/>
      <w:numFmt w:val="lowerLetter"/>
      <w:lvlText w:val="%5)"/>
      <w:lvlJc w:val="left"/>
      <w:pPr>
        <w:ind w:left="3040" w:hanging="440"/>
      </w:pPr>
      <w:rPr>
        <w:rFonts w:hint="eastAsia"/>
      </w:rPr>
    </w:lvl>
    <w:lvl w:ilvl="5" w:tentative="0">
      <w:start w:val="1"/>
      <w:numFmt w:val="lowerRoman"/>
      <w:lvlText w:val="%6."/>
      <w:lvlJc w:val="right"/>
      <w:pPr>
        <w:ind w:left="3480" w:hanging="440"/>
      </w:pPr>
      <w:rPr>
        <w:rFonts w:hint="eastAsia"/>
      </w:rPr>
    </w:lvl>
    <w:lvl w:ilvl="6" w:tentative="0">
      <w:start w:val="1"/>
      <w:numFmt w:val="decimal"/>
      <w:lvlText w:val="%7."/>
      <w:lvlJc w:val="left"/>
      <w:pPr>
        <w:ind w:left="3920" w:hanging="440"/>
      </w:pPr>
      <w:rPr>
        <w:rFonts w:hint="eastAsia"/>
      </w:rPr>
    </w:lvl>
    <w:lvl w:ilvl="7" w:tentative="0">
      <w:start w:val="1"/>
      <w:numFmt w:val="lowerLetter"/>
      <w:lvlText w:val="%8)"/>
      <w:lvlJc w:val="left"/>
      <w:pPr>
        <w:ind w:left="4360" w:hanging="440"/>
      </w:pPr>
      <w:rPr>
        <w:rFonts w:hint="eastAsia"/>
      </w:rPr>
    </w:lvl>
    <w:lvl w:ilvl="8" w:tentative="0">
      <w:start w:val="1"/>
      <w:numFmt w:val="lowerRoman"/>
      <w:lvlText w:val="%9."/>
      <w:lvlJc w:val="right"/>
      <w:pPr>
        <w:ind w:left="4800" w:hanging="440"/>
      </w:pPr>
      <w:rPr>
        <w:rFonts w:hint="eastAsia"/>
      </w:rPr>
    </w:lvl>
  </w:abstractNum>
  <w:abstractNum w:abstractNumId="47">
    <w:nsid w:val="72033ED2"/>
    <w:multiLevelType w:val="multilevel"/>
    <w:tmpl w:val="72033ED2"/>
    <w:lvl w:ilvl="0" w:tentative="0">
      <w:start w:val="1"/>
      <w:numFmt w:val="lowerLetter"/>
      <w:lvlText w:val="%1)"/>
      <w:lvlJc w:val="left"/>
      <w:pPr>
        <w:ind w:left="86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8">
    <w:nsid w:val="72FF635F"/>
    <w:multiLevelType w:val="multilevel"/>
    <w:tmpl w:val="72FF635F"/>
    <w:lvl w:ilvl="0" w:tentative="0">
      <w:start w:val="1"/>
      <w:numFmt w:val="lowerLetter"/>
      <w:lvlText w:val="%1)"/>
      <w:lvlJc w:val="left"/>
      <w:pPr>
        <w:ind w:left="860" w:hanging="440"/>
      </w:pPr>
      <w:rPr>
        <w:rFonts w:hint="default"/>
      </w:rPr>
    </w:lvl>
    <w:lvl w:ilvl="1" w:tentative="0">
      <w:start w:val="1"/>
      <w:numFmt w:val="decimal"/>
      <w:lvlText w:val="(%2)"/>
      <w:lvlJc w:val="left"/>
      <w:pPr>
        <w:ind w:left="1220" w:hanging="36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9">
    <w:nsid w:val="743037C7"/>
    <w:multiLevelType w:val="multilevel"/>
    <w:tmpl w:val="743037C7"/>
    <w:lvl w:ilvl="0" w:tentative="0">
      <w:start w:val="1"/>
      <w:numFmt w:val="lowerLetter"/>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0">
    <w:nsid w:val="75CC75BA"/>
    <w:multiLevelType w:val="multilevel"/>
    <w:tmpl w:val="75CC75BA"/>
    <w:lvl w:ilvl="0" w:tentative="0">
      <w:start w:val="1"/>
      <w:numFmt w:val="decimal"/>
      <w:lvlText w:val="%1)"/>
      <w:lvlJc w:val="left"/>
      <w:pPr>
        <w:ind w:left="1280" w:hanging="440"/>
      </w:pPr>
      <w:rPr>
        <w:rFonts w:hint="default"/>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51">
    <w:nsid w:val="75E364E2"/>
    <w:multiLevelType w:val="multilevel"/>
    <w:tmpl w:val="75E364E2"/>
    <w:lvl w:ilvl="0" w:tentative="0">
      <w:start w:val="1"/>
      <w:numFmt w:val="decimal"/>
      <w:lvlText w:val="%1)"/>
      <w:lvlJc w:val="left"/>
      <w:pPr>
        <w:ind w:left="1280" w:hanging="440"/>
      </w:pPr>
      <w:rPr>
        <w:rFonts w:hint="default"/>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52">
    <w:nsid w:val="798359AD"/>
    <w:multiLevelType w:val="multilevel"/>
    <w:tmpl w:val="798359AD"/>
    <w:lvl w:ilvl="0" w:tentative="0">
      <w:start w:val="1"/>
      <w:numFmt w:val="lowerLetter"/>
      <w:lvlText w:val="%1)"/>
      <w:lvlJc w:val="left"/>
      <w:pPr>
        <w:ind w:left="862" w:hanging="442"/>
      </w:pPr>
      <w:rPr>
        <w:rFonts w:hint="default"/>
      </w:rPr>
    </w:lvl>
    <w:lvl w:ilvl="1" w:tentative="0">
      <w:start w:val="1"/>
      <w:numFmt w:val="lowerLetter"/>
      <w:lvlText w:val="%2)"/>
      <w:lvlJc w:val="left"/>
      <w:pPr>
        <w:ind w:left="1720" w:hanging="440"/>
      </w:pPr>
      <w:rPr>
        <w:rFonts w:hint="eastAsia"/>
      </w:rPr>
    </w:lvl>
    <w:lvl w:ilvl="2" w:tentative="0">
      <w:start w:val="1"/>
      <w:numFmt w:val="lowerRoman"/>
      <w:lvlText w:val="%3."/>
      <w:lvlJc w:val="right"/>
      <w:pPr>
        <w:ind w:left="2160" w:hanging="440"/>
      </w:pPr>
      <w:rPr>
        <w:rFonts w:hint="eastAsia"/>
      </w:rPr>
    </w:lvl>
    <w:lvl w:ilvl="3" w:tentative="0">
      <w:start w:val="1"/>
      <w:numFmt w:val="decimal"/>
      <w:lvlText w:val="%4."/>
      <w:lvlJc w:val="left"/>
      <w:pPr>
        <w:ind w:left="2600" w:hanging="440"/>
      </w:pPr>
      <w:rPr>
        <w:rFonts w:hint="eastAsia"/>
      </w:rPr>
    </w:lvl>
    <w:lvl w:ilvl="4" w:tentative="0">
      <w:start w:val="1"/>
      <w:numFmt w:val="lowerLetter"/>
      <w:lvlText w:val="%5)"/>
      <w:lvlJc w:val="left"/>
      <w:pPr>
        <w:ind w:left="3040" w:hanging="440"/>
      </w:pPr>
      <w:rPr>
        <w:rFonts w:hint="eastAsia"/>
      </w:rPr>
    </w:lvl>
    <w:lvl w:ilvl="5" w:tentative="0">
      <w:start w:val="1"/>
      <w:numFmt w:val="lowerRoman"/>
      <w:lvlText w:val="%6."/>
      <w:lvlJc w:val="right"/>
      <w:pPr>
        <w:ind w:left="3480" w:hanging="440"/>
      </w:pPr>
      <w:rPr>
        <w:rFonts w:hint="eastAsia"/>
      </w:rPr>
    </w:lvl>
    <w:lvl w:ilvl="6" w:tentative="0">
      <w:start w:val="1"/>
      <w:numFmt w:val="decimal"/>
      <w:lvlText w:val="%7."/>
      <w:lvlJc w:val="left"/>
      <w:pPr>
        <w:ind w:left="3920" w:hanging="440"/>
      </w:pPr>
      <w:rPr>
        <w:rFonts w:hint="eastAsia"/>
      </w:rPr>
    </w:lvl>
    <w:lvl w:ilvl="7" w:tentative="0">
      <w:start w:val="1"/>
      <w:numFmt w:val="lowerLetter"/>
      <w:lvlText w:val="%8)"/>
      <w:lvlJc w:val="left"/>
      <w:pPr>
        <w:ind w:left="4360" w:hanging="440"/>
      </w:pPr>
      <w:rPr>
        <w:rFonts w:hint="eastAsia"/>
      </w:rPr>
    </w:lvl>
    <w:lvl w:ilvl="8" w:tentative="0">
      <w:start w:val="1"/>
      <w:numFmt w:val="lowerRoman"/>
      <w:lvlText w:val="%9."/>
      <w:lvlJc w:val="right"/>
      <w:pPr>
        <w:ind w:left="4800" w:hanging="440"/>
      </w:pPr>
      <w:rPr>
        <w:rFonts w:hint="eastAsia"/>
      </w:rPr>
    </w:lvl>
  </w:abstractNum>
  <w:abstractNum w:abstractNumId="53">
    <w:nsid w:val="7C8962A2"/>
    <w:multiLevelType w:val="multilevel"/>
    <w:tmpl w:val="7C8962A2"/>
    <w:lvl w:ilvl="0" w:tentative="0">
      <w:start w:val="1"/>
      <w:numFmt w:val="lowerLetter"/>
      <w:lvlText w:val="%1)"/>
      <w:lvlJc w:val="left"/>
      <w:pPr>
        <w:ind w:left="780" w:hanging="360"/>
      </w:pPr>
      <w:rPr>
        <w:rFonts w:hint="default"/>
      </w:rPr>
    </w:lvl>
    <w:lvl w:ilvl="1" w:tentative="0">
      <w:start w:val="1"/>
      <w:numFmt w:val="lowerLetter"/>
      <w:lvlText w:val="%2)"/>
      <w:lvlJc w:val="left"/>
      <w:pPr>
        <w:ind w:left="860" w:hanging="44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40"/>
  </w:num>
  <w:num w:numId="2">
    <w:abstractNumId w:val="22"/>
  </w:num>
  <w:num w:numId="3">
    <w:abstractNumId w:val="37"/>
  </w:num>
  <w:num w:numId="4">
    <w:abstractNumId w:val="36"/>
  </w:num>
  <w:num w:numId="5">
    <w:abstractNumId w:val="27"/>
  </w:num>
  <w:num w:numId="6">
    <w:abstractNumId w:val="51"/>
  </w:num>
  <w:num w:numId="7">
    <w:abstractNumId w:val="25"/>
  </w:num>
  <w:num w:numId="8">
    <w:abstractNumId w:val="10"/>
  </w:num>
  <w:num w:numId="9">
    <w:abstractNumId w:val="50"/>
  </w:num>
  <w:num w:numId="10">
    <w:abstractNumId w:val="8"/>
  </w:num>
  <w:num w:numId="11">
    <w:abstractNumId w:val="38"/>
  </w:num>
  <w:num w:numId="12">
    <w:abstractNumId w:val="52"/>
  </w:num>
  <w:num w:numId="13">
    <w:abstractNumId w:val="9"/>
  </w:num>
  <w:num w:numId="14">
    <w:abstractNumId w:val="45"/>
  </w:num>
  <w:num w:numId="15">
    <w:abstractNumId w:val="15"/>
  </w:num>
  <w:num w:numId="16">
    <w:abstractNumId w:val="44"/>
  </w:num>
  <w:num w:numId="17">
    <w:abstractNumId w:val="17"/>
  </w:num>
  <w:num w:numId="18">
    <w:abstractNumId w:val="28"/>
  </w:num>
  <w:num w:numId="19">
    <w:abstractNumId w:val="13"/>
  </w:num>
  <w:num w:numId="20">
    <w:abstractNumId w:val="24"/>
  </w:num>
  <w:num w:numId="21">
    <w:abstractNumId w:val="5"/>
  </w:num>
  <w:num w:numId="22">
    <w:abstractNumId w:val="30"/>
  </w:num>
  <w:num w:numId="23">
    <w:abstractNumId w:val="0"/>
  </w:num>
  <w:num w:numId="24">
    <w:abstractNumId w:val="1"/>
  </w:num>
  <w:num w:numId="25">
    <w:abstractNumId w:val="2"/>
  </w:num>
  <w:num w:numId="26">
    <w:abstractNumId w:val="11"/>
  </w:num>
  <w:num w:numId="27">
    <w:abstractNumId w:val="53"/>
  </w:num>
  <w:num w:numId="28">
    <w:abstractNumId w:val="23"/>
  </w:num>
  <w:num w:numId="29">
    <w:abstractNumId w:val="47"/>
  </w:num>
  <w:num w:numId="30">
    <w:abstractNumId w:val="41"/>
  </w:num>
  <w:num w:numId="31">
    <w:abstractNumId w:val="26"/>
  </w:num>
  <w:num w:numId="32">
    <w:abstractNumId w:val="7"/>
  </w:num>
  <w:num w:numId="33">
    <w:abstractNumId w:val="4"/>
  </w:num>
  <w:num w:numId="34">
    <w:abstractNumId w:val="35"/>
  </w:num>
  <w:num w:numId="35">
    <w:abstractNumId w:val="14"/>
  </w:num>
  <w:num w:numId="36">
    <w:abstractNumId w:val="49"/>
  </w:num>
  <w:num w:numId="37">
    <w:abstractNumId w:val="20"/>
  </w:num>
  <w:num w:numId="38">
    <w:abstractNumId w:val="12"/>
  </w:num>
  <w:num w:numId="39">
    <w:abstractNumId w:val="32"/>
  </w:num>
  <w:num w:numId="40">
    <w:abstractNumId w:val="18"/>
  </w:num>
  <w:num w:numId="41">
    <w:abstractNumId w:val="42"/>
  </w:num>
  <w:num w:numId="42">
    <w:abstractNumId w:val="31"/>
  </w:num>
  <w:num w:numId="43">
    <w:abstractNumId w:val="39"/>
  </w:num>
  <w:num w:numId="44">
    <w:abstractNumId w:val="48"/>
  </w:num>
  <w:num w:numId="45">
    <w:abstractNumId w:val="34"/>
  </w:num>
  <w:num w:numId="46">
    <w:abstractNumId w:val="33"/>
  </w:num>
  <w:num w:numId="47">
    <w:abstractNumId w:val="29"/>
  </w:num>
  <w:num w:numId="48">
    <w:abstractNumId w:val="43"/>
  </w:num>
  <w:num w:numId="49">
    <w:abstractNumId w:val="46"/>
  </w:num>
  <w:num w:numId="50">
    <w:abstractNumId w:val="19"/>
  </w:num>
  <w:num w:numId="51">
    <w:abstractNumId w:val="6"/>
  </w:num>
  <w:num w:numId="52">
    <w:abstractNumId w:val="3"/>
  </w:num>
  <w:num w:numId="53">
    <w:abstractNumId w:val="16"/>
  </w:num>
  <w:num w:numId="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YWI2OWIyNjdjNjBhNTIyMzg5N2NmNjQzZmYyN2MifQ=="/>
  </w:docVars>
  <w:rsids>
    <w:rsidRoot w:val="00D21137"/>
    <w:rsid w:val="00003F46"/>
    <w:rsid w:val="00041D5D"/>
    <w:rsid w:val="00042837"/>
    <w:rsid w:val="00071E13"/>
    <w:rsid w:val="00080B48"/>
    <w:rsid w:val="000825F4"/>
    <w:rsid w:val="000830A6"/>
    <w:rsid w:val="00097369"/>
    <w:rsid w:val="00097D6F"/>
    <w:rsid w:val="000A69BD"/>
    <w:rsid w:val="000B2820"/>
    <w:rsid w:val="000C0CC9"/>
    <w:rsid w:val="000D48CF"/>
    <w:rsid w:val="001008D9"/>
    <w:rsid w:val="00104D18"/>
    <w:rsid w:val="00112ACD"/>
    <w:rsid w:val="0016036F"/>
    <w:rsid w:val="001668D1"/>
    <w:rsid w:val="00177802"/>
    <w:rsid w:val="001863A6"/>
    <w:rsid w:val="001A3E57"/>
    <w:rsid w:val="001C74E0"/>
    <w:rsid w:val="001D0204"/>
    <w:rsid w:val="001D673E"/>
    <w:rsid w:val="001E393B"/>
    <w:rsid w:val="001E483B"/>
    <w:rsid w:val="001F1A8E"/>
    <w:rsid w:val="0022552E"/>
    <w:rsid w:val="0023735E"/>
    <w:rsid w:val="00252C10"/>
    <w:rsid w:val="00256BB8"/>
    <w:rsid w:val="0027053E"/>
    <w:rsid w:val="00271BAF"/>
    <w:rsid w:val="00275E0E"/>
    <w:rsid w:val="00280D86"/>
    <w:rsid w:val="002B331F"/>
    <w:rsid w:val="002C42A0"/>
    <w:rsid w:val="002C764B"/>
    <w:rsid w:val="002E69CC"/>
    <w:rsid w:val="002F4D6A"/>
    <w:rsid w:val="0030055D"/>
    <w:rsid w:val="003007EC"/>
    <w:rsid w:val="003016EC"/>
    <w:rsid w:val="00316B5B"/>
    <w:rsid w:val="0032410E"/>
    <w:rsid w:val="003248E1"/>
    <w:rsid w:val="00327029"/>
    <w:rsid w:val="00327FC4"/>
    <w:rsid w:val="003331C8"/>
    <w:rsid w:val="003440CF"/>
    <w:rsid w:val="00346A11"/>
    <w:rsid w:val="003504FC"/>
    <w:rsid w:val="00363B59"/>
    <w:rsid w:val="00367E8C"/>
    <w:rsid w:val="003731FC"/>
    <w:rsid w:val="00375D2B"/>
    <w:rsid w:val="0037627D"/>
    <w:rsid w:val="00390065"/>
    <w:rsid w:val="003A1F79"/>
    <w:rsid w:val="003A45D9"/>
    <w:rsid w:val="003A4759"/>
    <w:rsid w:val="003A48A8"/>
    <w:rsid w:val="003B31DE"/>
    <w:rsid w:val="003B4AC5"/>
    <w:rsid w:val="003C5FE5"/>
    <w:rsid w:val="003C7F2A"/>
    <w:rsid w:val="003D5073"/>
    <w:rsid w:val="003D79BA"/>
    <w:rsid w:val="003E27F7"/>
    <w:rsid w:val="003E34D5"/>
    <w:rsid w:val="003F02F5"/>
    <w:rsid w:val="003F12EF"/>
    <w:rsid w:val="00412F80"/>
    <w:rsid w:val="00415C0E"/>
    <w:rsid w:val="004319DA"/>
    <w:rsid w:val="00433ECE"/>
    <w:rsid w:val="0043440C"/>
    <w:rsid w:val="0043463A"/>
    <w:rsid w:val="004360D5"/>
    <w:rsid w:val="00437A8B"/>
    <w:rsid w:val="004449F6"/>
    <w:rsid w:val="00444E66"/>
    <w:rsid w:val="004462E5"/>
    <w:rsid w:val="00447A19"/>
    <w:rsid w:val="00452AA7"/>
    <w:rsid w:val="00453FE2"/>
    <w:rsid w:val="00454E1F"/>
    <w:rsid w:val="0045533C"/>
    <w:rsid w:val="00474B0C"/>
    <w:rsid w:val="00492869"/>
    <w:rsid w:val="0049703B"/>
    <w:rsid w:val="004A1BCE"/>
    <w:rsid w:val="004A5BBC"/>
    <w:rsid w:val="004B2F46"/>
    <w:rsid w:val="004B7133"/>
    <w:rsid w:val="004C419C"/>
    <w:rsid w:val="004C5B8C"/>
    <w:rsid w:val="004C6EBB"/>
    <w:rsid w:val="004D5AF5"/>
    <w:rsid w:val="004E22C9"/>
    <w:rsid w:val="004F53C2"/>
    <w:rsid w:val="004F5A18"/>
    <w:rsid w:val="005000EF"/>
    <w:rsid w:val="00502856"/>
    <w:rsid w:val="0050385D"/>
    <w:rsid w:val="005062B4"/>
    <w:rsid w:val="00520262"/>
    <w:rsid w:val="005221A0"/>
    <w:rsid w:val="00535C5C"/>
    <w:rsid w:val="00542A6D"/>
    <w:rsid w:val="00544740"/>
    <w:rsid w:val="00555E2D"/>
    <w:rsid w:val="00561C9B"/>
    <w:rsid w:val="00565ECA"/>
    <w:rsid w:val="005736DC"/>
    <w:rsid w:val="00581C5D"/>
    <w:rsid w:val="005A47B2"/>
    <w:rsid w:val="005A5917"/>
    <w:rsid w:val="005A673D"/>
    <w:rsid w:val="005A68BF"/>
    <w:rsid w:val="005A788A"/>
    <w:rsid w:val="005B42CD"/>
    <w:rsid w:val="005B6429"/>
    <w:rsid w:val="005C1AF9"/>
    <w:rsid w:val="005C21F9"/>
    <w:rsid w:val="005D4BBD"/>
    <w:rsid w:val="005D7B49"/>
    <w:rsid w:val="005E56DF"/>
    <w:rsid w:val="005F5183"/>
    <w:rsid w:val="005F617C"/>
    <w:rsid w:val="00601EB0"/>
    <w:rsid w:val="00603651"/>
    <w:rsid w:val="0060395E"/>
    <w:rsid w:val="0061497B"/>
    <w:rsid w:val="00617C13"/>
    <w:rsid w:val="006214CC"/>
    <w:rsid w:val="006225EB"/>
    <w:rsid w:val="00625CD4"/>
    <w:rsid w:val="00635036"/>
    <w:rsid w:val="00646CE2"/>
    <w:rsid w:val="0065516C"/>
    <w:rsid w:val="00666830"/>
    <w:rsid w:val="0067082D"/>
    <w:rsid w:val="00674F55"/>
    <w:rsid w:val="006A45C0"/>
    <w:rsid w:val="006A54A0"/>
    <w:rsid w:val="006C446B"/>
    <w:rsid w:val="006C7C5E"/>
    <w:rsid w:val="006C7F68"/>
    <w:rsid w:val="006D6775"/>
    <w:rsid w:val="006F4795"/>
    <w:rsid w:val="006F510A"/>
    <w:rsid w:val="006F57B8"/>
    <w:rsid w:val="00715991"/>
    <w:rsid w:val="0073246E"/>
    <w:rsid w:val="00735A97"/>
    <w:rsid w:val="00740361"/>
    <w:rsid w:val="00751B26"/>
    <w:rsid w:val="0076041D"/>
    <w:rsid w:val="00766A6D"/>
    <w:rsid w:val="00767B9B"/>
    <w:rsid w:val="00784F3D"/>
    <w:rsid w:val="00785EEA"/>
    <w:rsid w:val="0079042F"/>
    <w:rsid w:val="00792DAA"/>
    <w:rsid w:val="007A156E"/>
    <w:rsid w:val="007A4F73"/>
    <w:rsid w:val="007C06E1"/>
    <w:rsid w:val="007C594A"/>
    <w:rsid w:val="007C6111"/>
    <w:rsid w:val="007D00BC"/>
    <w:rsid w:val="007D4A33"/>
    <w:rsid w:val="007E54BD"/>
    <w:rsid w:val="007E6DA5"/>
    <w:rsid w:val="007F21B6"/>
    <w:rsid w:val="007F6C59"/>
    <w:rsid w:val="008033BD"/>
    <w:rsid w:val="00805740"/>
    <w:rsid w:val="00810CE4"/>
    <w:rsid w:val="00813778"/>
    <w:rsid w:val="00822466"/>
    <w:rsid w:val="008301CE"/>
    <w:rsid w:val="008315A6"/>
    <w:rsid w:val="00853AFE"/>
    <w:rsid w:val="00864038"/>
    <w:rsid w:val="008642DD"/>
    <w:rsid w:val="008751C4"/>
    <w:rsid w:val="00887644"/>
    <w:rsid w:val="008A18E8"/>
    <w:rsid w:val="008A51FD"/>
    <w:rsid w:val="008C206C"/>
    <w:rsid w:val="008C483A"/>
    <w:rsid w:val="008D25C2"/>
    <w:rsid w:val="008D40A0"/>
    <w:rsid w:val="008E469C"/>
    <w:rsid w:val="008E5338"/>
    <w:rsid w:val="008E6546"/>
    <w:rsid w:val="008F62D3"/>
    <w:rsid w:val="008F77A8"/>
    <w:rsid w:val="008F7D3F"/>
    <w:rsid w:val="0090146E"/>
    <w:rsid w:val="009030C1"/>
    <w:rsid w:val="009041CC"/>
    <w:rsid w:val="00905B68"/>
    <w:rsid w:val="00907DB1"/>
    <w:rsid w:val="0091377D"/>
    <w:rsid w:val="00914DAB"/>
    <w:rsid w:val="00916622"/>
    <w:rsid w:val="0093085B"/>
    <w:rsid w:val="0093107E"/>
    <w:rsid w:val="0093478E"/>
    <w:rsid w:val="009356CC"/>
    <w:rsid w:val="0094402F"/>
    <w:rsid w:val="00964B41"/>
    <w:rsid w:val="00965BB3"/>
    <w:rsid w:val="009707D1"/>
    <w:rsid w:val="00980FF4"/>
    <w:rsid w:val="00984899"/>
    <w:rsid w:val="009A25F9"/>
    <w:rsid w:val="009B111E"/>
    <w:rsid w:val="009B2832"/>
    <w:rsid w:val="009D3E55"/>
    <w:rsid w:val="009D7F5C"/>
    <w:rsid w:val="009E199D"/>
    <w:rsid w:val="009E750D"/>
    <w:rsid w:val="009F0097"/>
    <w:rsid w:val="009F342A"/>
    <w:rsid w:val="009F3DCC"/>
    <w:rsid w:val="009F5B83"/>
    <w:rsid w:val="009F701C"/>
    <w:rsid w:val="00A04078"/>
    <w:rsid w:val="00A064F1"/>
    <w:rsid w:val="00A068CA"/>
    <w:rsid w:val="00A11DFD"/>
    <w:rsid w:val="00A22515"/>
    <w:rsid w:val="00A22734"/>
    <w:rsid w:val="00A30292"/>
    <w:rsid w:val="00A331EA"/>
    <w:rsid w:val="00A36BB0"/>
    <w:rsid w:val="00A54BC9"/>
    <w:rsid w:val="00A55067"/>
    <w:rsid w:val="00A63418"/>
    <w:rsid w:val="00A64EB9"/>
    <w:rsid w:val="00A65846"/>
    <w:rsid w:val="00A70EC4"/>
    <w:rsid w:val="00A83F35"/>
    <w:rsid w:val="00A90D18"/>
    <w:rsid w:val="00A92631"/>
    <w:rsid w:val="00A93418"/>
    <w:rsid w:val="00A9484A"/>
    <w:rsid w:val="00AA3E89"/>
    <w:rsid w:val="00AA74E1"/>
    <w:rsid w:val="00AB3D5F"/>
    <w:rsid w:val="00AC22C8"/>
    <w:rsid w:val="00AC3582"/>
    <w:rsid w:val="00AC4C88"/>
    <w:rsid w:val="00AD1B0A"/>
    <w:rsid w:val="00AD6E75"/>
    <w:rsid w:val="00AF0608"/>
    <w:rsid w:val="00AF3520"/>
    <w:rsid w:val="00B0311A"/>
    <w:rsid w:val="00B33F9F"/>
    <w:rsid w:val="00B4228B"/>
    <w:rsid w:val="00B44166"/>
    <w:rsid w:val="00B653A2"/>
    <w:rsid w:val="00B90FEC"/>
    <w:rsid w:val="00B94F15"/>
    <w:rsid w:val="00BA782E"/>
    <w:rsid w:val="00BB4AB0"/>
    <w:rsid w:val="00BB4E15"/>
    <w:rsid w:val="00BE18CD"/>
    <w:rsid w:val="00BE3182"/>
    <w:rsid w:val="00BE5735"/>
    <w:rsid w:val="00C161AE"/>
    <w:rsid w:val="00C21AA8"/>
    <w:rsid w:val="00C22ED7"/>
    <w:rsid w:val="00C55995"/>
    <w:rsid w:val="00C76AC1"/>
    <w:rsid w:val="00CA3D45"/>
    <w:rsid w:val="00CA7198"/>
    <w:rsid w:val="00CB0A6D"/>
    <w:rsid w:val="00CB7D69"/>
    <w:rsid w:val="00CE092A"/>
    <w:rsid w:val="00CE0D9D"/>
    <w:rsid w:val="00CF31C3"/>
    <w:rsid w:val="00CF726A"/>
    <w:rsid w:val="00D04D04"/>
    <w:rsid w:val="00D04E26"/>
    <w:rsid w:val="00D1436C"/>
    <w:rsid w:val="00D21137"/>
    <w:rsid w:val="00D268F2"/>
    <w:rsid w:val="00D30230"/>
    <w:rsid w:val="00D32AE1"/>
    <w:rsid w:val="00D422CC"/>
    <w:rsid w:val="00D42E89"/>
    <w:rsid w:val="00D4614F"/>
    <w:rsid w:val="00D73762"/>
    <w:rsid w:val="00D76BD9"/>
    <w:rsid w:val="00D85340"/>
    <w:rsid w:val="00D87659"/>
    <w:rsid w:val="00D912CF"/>
    <w:rsid w:val="00D9237B"/>
    <w:rsid w:val="00D95B30"/>
    <w:rsid w:val="00DA3B98"/>
    <w:rsid w:val="00DC6757"/>
    <w:rsid w:val="00DC7A32"/>
    <w:rsid w:val="00DD5F61"/>
    <w:rsid w:val="00DF0E47"/>
    <w:rsid w:val="00DF1BA6"/>
    <w:rsid w:val="00DF5009"/>
    <w:rsid w:val="00E0315F"/>
    <w:rsid w:val="00E0719C"/>
    <w:rsid w:val="00E132E4"/>
    <w:rsid w:val="00E15BC9"/>
    <w:rsid w:val="00E30627"/>
    <w:rsid w:val="00E36945"/>
    <w:rsid w:val="00E4256A"/>
    <w:rsid w:val="00E45174"/>
    <w:rsid w:val="00E52362"/>
    <w:rsid w:val="00E65E4D"/>
    <w:rsid w:val="00E76BD1"/>
    <w:rsid w:val="00EA43E8"/>
    <w:rsid w:val="00EC605C"/>
    <w:rsid w:val="00ED0FA5"/>
    <w:rsid w:val="00EE18C4"/>
    <w:rsid w:val="00EE20E2"/>
    <w:rsid w:val="00EF19B2"/>
    <w:rsid w:val="00EF249E"/>
    <w:rsid w:val="00EF399F"/>
    <w:rsid w:val="00EF5ACA"/>
    <w:rsid w:val="00F06F1B"/>
    <w:rsid w:val="00F1037B"/>
    <w:rsid w:val="00F14921"/>
    <w:rsid w:val="00F172E5"/>
    <w:rsid w:val="00F22EBB"/>
    <w:rsid w:val="00F24D8D"/>
    <w:rsid w:val="00F5682A"/>
    <w:rsid w:val="00F72BE3"/>
    <w:rsid w:val="00F81EE2"/>
    <w:rsid w:val="00F825FB"/>
    <w:rsid w:val="00F82894"/>
    <w:rsid w:val="00F84BEB"/>
    <w:rsid w:val="00F84CB7"/>
    <w:rsid w:val="00F91192"/>
    <w:rsid w:val="00F932C8"/>
    <w:rsid w:val="00FA01F5"/>
    <w:rsid w:val="00FB5F15"/>
    <w:rsid w:val="00FC5401"/>
    <w:rsid w:val="00FD369F"/>
    <w:rsid w:val="00FE1C31"/>
    <w:rsid w:val="00FE5DF8"/>
    <w:rsid w:val="00FF2AA9"/>
    <w:rsid w:val="00FF6A90"/>
    <w:rsid w:val="00FF6DA3"/>
    <w:rsid w:val="00FF777D"/>
    <w:rsid w:val="0C283110"/>
    <w:rsid w:val="0E7ED9E0"/>
    <w:rsid w:val="0FFBBFDC"/>
    <w:rsid w:val="13F341F4"/>
    <w:rsid w:val="17EF8DCF"/>
    <w:rsid w:val="1DFF0F05"/>
    <w:rsid w:val="207D78F7"/>
    <w:rsid w:val="2DBF2116"/>
    <w:rsid w:val="2FF4677C"/>
    <w:rsid w:val="3762100E"/>
    <w:rsid w:val="3ADD58E5"/>
    <w:rsid w:val="3B5744C6"/>
    <w:rsid w:val="3BDD7559"/>
    <w:rsid w:val="3BE370BB"/>
    <w:rsid w:val="3D7F022E"/>
    <w:rsid w:val="3EEFB938"/>
    <w:rsid w:val="3F6FDBEF"/>
    <w:rsid w:val="3F775447"/>
    <w:rsid w:val="3FDE7729"/>
    <w:rsid w:val="3FFF8CD6"/>
    <w:rsid w:val="46151325"/>
    <w:rsid w:val="47D20BDA"/>
    <w:rsid w:val="4FBF42F9"/>
    <w:rsid w:val="4FC6D72B"/>
    <w:rsid w:val="55FA005E"/>
    <w:rsid w:val="57F38C0F"/>
    <w:rsid w:val="5B752CE0"/>
    <w:rsid w:val="5BBFB585"/>
    <w:rsid w:val="5BCC47AA"/>
    <w:rsid w:val="5BDBCFBC"/>
    <w:rsid w:val="5BFF67CB"/>
    <w:rsid w:val="5D7710BE"/>
    <w:rsid w:val="5DE73E88"/>
    <w:rsid w:val="5DFAE458"/>
    <w:rsid w:val="5DFFCE36"/>
    <w:rsid w:val="5ED07623"/>
    <w:rsid w:val="5EFF93EE"/>
    <w:rsid w:val="5F32B620"/>
    <w:rsid w:val="5FB29390"/>
    <w:rsid w:val="5FF54E7D"/>
    <w:rsid w:val="5FFFDF9A"/>
    <w:rsid w:val="63DD16C0"/>
    <w:rsid w:val="64EF11BE"/>
    <w:rsid w:val="64FD3E4D"/>
    <w:rsid w:val="69E72135"/>
    <w:rsid w:val="6B5F2D92"/>
    <w:rsid w:val="6B7F2B17"/>
    <w:rsid w:val="6BFB1ABC"/>
    <w:rsid w:val="6DEFA00B"/>
    <w:rsid w:val="6E7C82F4"/>
    <w:rsid w:val="6F56D1E8"/>
    <w:rsid w:val="6F6FBD94"/>
    <w:rsid w:val="6F99A9D2"/>
    <w:rsid w:val="6FBFF41A"/>
    <w:rsid w:val="6FDB7B22"/>
    <w:rsid w:val="6FDFDA8B"/>
    <w:rsid w:val="6FFF3152"/>
    <w:rsid w:val="6FFF9F12"/>
    <w:rsid w:val="713F1D4B"/>
    <w:rsid w:val="716E5C31"/>
    <w:rsid w:val="72FBFECF"/>
    <w:rsid w:val="735DCDFB"/>
    <w:rsid w:val="73E693CC"/>
    <w:rsid w:val="757E44F1"/>
    <w:rsid w:val="75FF935B"/>
    <w:rsid w:val="776CB30C"/>
    <w:rsid w:val="77D5EEBE"/>
    <w:rsid w:val="786F6054"/>
    <w:rsid w:val="79329F68"/>
    <w:rsid w:val="79D7DDEE"/>
    <w:rsid w:val="7B8F081C"/>
    <w:rsid w:val="7BA9D289"/>
    <w:rsid w:val="7CFFA744"/>
    <w:rsid w:val="7DF7042D"/>
    <w:rsid w:val="7DFFE464"/>
    <w:rsid w:val="7E17306C"/>
    <w:rsid w:val="7E7F08CA"/>
    <w:rsid w:val="7EBDFAD6"/>
    <w:rsid w:val="7EC77FEE"/>
    <w:rsid w:val="7EF0ED7C"/>
    <w:rsid w:val="7EF79FCD"/>
    <w:rsid w:val="7F570E03"/>
    <w:rsid w:val="7F5EF88A"/>
    <w:rsid w:val="7F698899"/>
    <w:rsid w:val="7F8B0569"/>
    <w:rsid w:val="7FAE3981"/>
    <w:rsid w:val="7FBE23BD"/>
    <w:rsid w:val="7FFF020C"/>
    <w:rsid w:val="96B4822A"/>
    <w:rsid w:val="99DF601B"/>
    <w:rsid w:val="9A2FEEF7"/>
    <w:rsid w:val="9CF1E581"/>
    <w:rsid w:val="9EEFD307"/>
    <w:rsid w:val="9F666AFB"/>
    <w:rsid w:val="9FFA88AB"/>
    <w:rsid w:val="A47FC45C"/>
    <w:rsid w:val="A5D73F0D"/>
    <w:rsid w:val="AB3B83EA"/>
    <w:rsid w:val="AFEEB87F"/>
    <w:rsid w:val="AFFFE3D4"/>
    <w:rsid w:val="B6BC74EE"/>
    <w:rsid w:val="B7FF2863"/>
    <w:rsid w:val="BBCB7432"/>
    <w:rsid w:val="BD2E0D62"/>
    <w:rsid w:val="BDDFE824"/>
    <w:rsid w:val="BDFFA1BD"/>
    <w:rsid w:val="BE576ECE"/>
    <w:rsid w:val="BEBB5E30"/>
    <w:rsid w:val="BEF78FC4"/>
    <w:rsid w:val="BFBFAAC6"/>
    <w:rsid w:val="BFCC0EA5"/>
    <w:rsid w:val="BFEB956E"/>
    <w:rsid w:val="C7EE9E1E"/>
    <w:rsid w:val="C7FFD0BB"/>
    <w:rsid w:val="CABBED07"/>
    <w:rsid w:val="CAFE8C81"/>
    <w:rsid w:val="CF7F789A"/>
    <w:rsid w:val="CFFFB719"/>
    <w:rsid w:val="D73FD58E"/>
    <w:rsid w:val="D7BFBB26"/>
    <w:rsid w:val="D9D9BC79"/>
    <w:rsid w:val="DBE75025"/>
    <w:rsid w:val="DDBAD38D"/>
    <w:rsid w:val="DDDF99CE"/>
    <w:rsid w:val="DEB7BB80"/>
    <w:rsid w:val="DEF08B1F"/>
    <w:rsid w:val="DEFBD037"/>
    <w:rsid w:val="DF892434"/>
    <w:rsid w:val="DFBB0032"/>
    <w:rsid w:val="DFBDD481"/>
    <w:rsid w:val="DFD5AD88"/>
    <w:rsid w:val="E2B7AC39"/>
    <w:rsid w:val="E3DCE289"/>
    <w:rsid w:val="E5AF7BBC"/>
    <w:rsid w:val="E6ABB3A3"/>
    <w:rsid w:val="E7296CC0"/>
    <w:rsid w:val="E7FF9870"/>
    <w:rsid w:val="E9B9B53D"/>
    <w:rsid w:val="EBBFE165"/>
    <w:rsid w:val="EBDF586A"/>
    <w:rsid w:val="EBDFD9BC"/>
    <w:rsid w:val="ECEFE407"/>
    <w:rsid w:val="ED5F0C02"/>
    <w:rsid w:val="EDF64908"/>
    <w:rsid w:val="EDFFE33D"/>
    <w:rsid w:val="EED81BE6"/>
    <w:rsid w:val="EEDBE0C9"/>
    <w:rsid w:val="EEFDF7E0"/>
    <w:rsid w:val="F36F8FE7"/>
    <w:rsid w:val="F59CB4FB"/>
    <w:rsid w:val="F5F99B21"/>
    <w:rsid w:val="F73682DD"/>
    <w:rsid w:val="F77F41EB"/>
    <w:rsid w:val="F7B62B39"/>
    <w:rsid w:val="F8BF3D81"/>
    <w:rsid w:val="F9BB9302"/>
    <w:rsid w:val="FADFEFA7"/>
    <w:rsid w:val="FB4B105F"/>
    <w:rsid w:val="FB7F5BA8"/>
    <w:rsid w:val="FBFE9E8A"/>
    <w:rsid w:val="FBFF017E"/>
    <w:rsid w:val="FCBF6879"/>
    <w:rsid w:val="FD385C86"/>
    <w:rsid w:val="FD7A42E0"/>
    <w:rsid w:val="FD9B9913"/>
    <w:rsid w:val="FDCFCD94"/>
    <w:rsid w:val="FDF7F3C7"/>
    <w:rsid w:val="FDFDF023"/>
    <w:rsid w:val="FDFFDC98"/>
    <w:rsid w:val="FED4D061"/>
    <w:rsid w:val="FF658948"/>
    <w:rsid w:val="FF6E70A6"/>
    <w:rsid w:val="FF8F3D9C"/>
    <w:rsid w:val="FFBC9BB9"/>
    <w:rsid w:val="FFDBB74E"/>
    <w:rsid w:val="FFDC82D7"/>
    <w:rsid w:val="FFF588DB"/>
    <w:rsid w:val="FFFB98D5"/>
    <w:rsid w:val="FFFD91C4"/>
    <w:rsid w:val="FFFF2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link w:val="29"/>
    <w:unhideWhenUsed/>
    <w:qFormat/>
    <w:uiPriority w:val="0"/>
    <w:pPr>
      <w:widowControl/>
      <w:jc w:val="left"/>
    </w:pPr>
    <w:rPr>
      <w:rFonts w:ascii="Calibri Light" w:hAnsi="Calibri Light" w:eastAsia="黑体"/>
      <w:sz w:val="20"/>
      <w:szCs w:val="20"/>
      <w:lang w:val="zh-CN"/>
    </w:rPr>
  </w:style>
  <w:style w:type="paragraph" w:styleId="4">
    <w:name w:val="annotation text"/>
    <w:basedOn w:val="1"/>
    <w:link w:val="33"/>
    <w:semiHidden/>
    <w:unhideWhenUsed/>
    <w:uiPriority w:val="99"/>
    <w:pPr>
      <w:jc w:val="left"/>
    </w:pPr>
  </w:style>
  <w:style w:type="paragraph" w:styleId="5">
    <w:name w:val="toc 3"/>
    <w:basedOn w:val="1"/>
    <w:next w:val="1"/>
    <w:unhideWhenUsed/>
    <w:qFormat/>
    <w:uiPriority w:val="39"/>
    <w:pPr>
      <w:ind w:left="840" w:leftChars="400"/>
    </w:pPr>
  </w:style>
  <w:style w:type="paragraph" w:styleId="6">
    <w:name w:val="Date"/>
    <w:basedOn w:val="1"/>
    <w:next w:val="1"/>
    <w:link w:val="19"/>
    <w:qFormat/>
    <w:uiPriority w:val="0"/>
    <w:rPr>
      <w:rFonts w:ascii="仿宋_GB2312" w:eastAsia="仿宋_GB2312"/>
      <w:kern w:val="0"/>
      <w:sz w:val="32"/>
      <w:szCs w:val="20"/>
    </w:rPr>
  </w:style>
  <w:style w:type="paragraph" w:styleId="7">
    <w:name w:val="Balloon Text"/>
    <w:basedOn w:val="1"/>
    <w:link w:val="35"/>
    <w:semiHidden/>
    <w:unhideWhenUsed/>
    <w:qFormat/>
    <w:uiPriority w:val="99"/>
    <w:pPr>
      <w:spacing w:line="240" w:lineRule="auto"/>
    </w:pPr>
    <w:rPr>
      <w:sz w:val="18"/>
      <w:szCs w:val="18"/>
    </w:rPr>
  </w:style>
  <w:style w:type="paragraph" w:styleId="8">
    <w:name w:val="footer"/>
    <w:basedOn w:val="1"/>
    <w:link w:val="25"/>
    <w:unhideWhenUsed/>
    <w:qFormat/>
    <w:uiPriority w:val="99"/>
    <w:pPr>
      <w:tabs>
        <w:tab w:val="center" w:pos="4153"/>
        <w:tab w:val="right" w:pos="8306"/>
      </w:tabs>
      <w:snapToGrid w:val="0"/>
      <w:spacing w:line="240" w:lineRule="auto"/>
      <w:jc w:val="left"/>
    </w:pPr>
    <w:rPr>
      <w:sz w:val="18"/>
      <w:szCs w:val="18"/>
    </w:rPr>
  </w:style>
  <w:style w:type="paragraph" w:styleId="9">
    <w:name w:val="header"/>
    <w:basedOn w:val="1"/>
    <w:link w:val="24"/>
    <w:unhideWhenUsed/>
    <w:qFormat/>
    <w:uiPriority w:val="99"/>
    <w:pPr>
      <w:tabs>
        <w:tab w:val="center" w:pos="4153"/>
        <w:tab w:val="right" w:pos="8306"/>
      </w:tabs>
      <w:snapToGrid w:val="0"/>
      <w:spacing w:line="240" w:lineRule="auto"/>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4"/>
    <w:next w:val="4"/>
    <w:link w:val="34"/>
    <w:semiHidden/>
    <w:unhideWhenUsed/>
    <w:qFormat/>
    <w:uiPriority w:val="99"/>
    <w:rPr>
      <w:b/>
      <w:bCs/>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467886"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日期 字符"/>
    <w:basedOn w:val="16"/>
    <w:link w:val="6"/>
    <w:qFormat/>
    <w:uiPriority w:val="0"/>
    <w:rPr>
      <w:rFonts w:ascii="仿宋_GB2312" w:hAnsi="Times New Roman" w:eastAsia="仿宋_GB2312" w:cs="Times New Roman"/>
      <w:kern w:val="0"/>
      <w:sz w:val="32"/>
      <w:szCs w:val="20"/>
      <w14:ligatures w14:val="none"/>
    </w:rPr>
  </w:style>
  <w:style w:type="paragraph" w:customStyle="1" w:styleId="20">
    <w:name w:val="章"/>
    <w:basedOn w:val="1"/>
    <w:qFormat/>
    <w:uiPriority w:val="0"/>
    <w:pPr>
      <w:adjustRightInd w:val="0"/>
      <w:snapToGrid w:val="0"/>
      <w:jc w:val="center"/>
    </w:pPr>
    <w:rPr>
      <w:rFonts w:ascii="黑体" w:hAnsi="宋体" w:eastAsia="黑体"/>
      <w:bCs/>
      <w:sz w:val="44"/>
    </w:rPr>
  </w:style>
  <w:style w:type="paragraph" w:customStyle="1" w:styleId="2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2">
    <w:name w:val="一级条标题"/>
    <w:basedOn w:val="1"/>
    <w:next w:val="1"/>
    <w:qFormat/>
    <w:uiPriority w:val="0"/>
    <w:pPr>
      <w:widowControl/>
      <w:numPr>
        <w:ilvl w:val="1"/>
        <w:numId w:val="1"/>
      </w:numPr>
      <w:spacing w:before="50" w:beforeLines="50" w:after="50" w:afterLines="50" w:line="240" w:lineRule="auto"/>
      <w:outlineLvl w:val="2"/>
    </w:pPr>
    <w:rPr>
      <w:rFonts w:ascii="黑体" w:hAnsi="黑体" w:eastAsia="黑体"/>
      <w:kern w:val="0"/>
      <w:szCs w:val="21"/>
    </w:rPr>
  </w:style>
  <w:style w:type="paragraph" w:customStyle="1" w:styleId="23">
    <w:name w:val="二级条标题"/>
    <w:basedOn w:val="22"/>
    <w:next w:val="1"/>
    <w:qFormat/>
    <w:uiPriority w:val="0"/>
    <w:pPr>
      <w:numPr>
        <w:ilvl w:val="0"/>
        <w:numId w:val="0"/>
      </w:numPr>
      <w:jc w:val="left"/>
      <w:outlineLvl w:val="3"/>
    </w:pPr>
  </w:style>
  <w:style w:type="character" w:customStyle="1" w:styleId="24">
    <w:name w:val="页眉 字符"/>
    <w:basedOn w:val="16"/>
    <w:link w:val="9"/>
    <w:qFormat/>
    <w:uiPriority w:val="99"/>
    <w:rPr>
      <w:rFonts w:ascii="Times New Roman" w:hAnsi="Times New Roman" w:eastAsia="宋体" w:cs="Times New Roman"/>
      <w:sz w:val="18"/>
      <w:szCs w:val="18"/>
      <w14:ligatures w14:val="none"/>
    </w:rPr>
  </w:style>
  <w:style w:type="character" w:customStyle="1" w:styleId="25">
    <w:name w:val="页脚 字符"/>
    <w:basedOn w:val="16"/>
    <w:link w:val="8"/>
    <w:qFormat/>
    <w:uiPriority w:val="99"/>
    <w:rPr>
      <w:rFonts w:ascii="Times New Roman" w:hAnsi="Times New Roman" w:eastAsia="宋体" w:cs="Times New Roman"/>
      <w:sz w:val="18"/>
      <w:szCs w:val="18"/>
      <w14:ligatures w14:val="none"/>
    </w:rPr>
  </w:style>
  <w:style w:type="paragraph" w:customStyle="1" w:styleId="26">
    <w:name w:val="段"/>
    <w:link w:val="2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7">
    <w:name w:val="段 Char"/>
    <w:link w:val="26"/>
    <w:qFormat/>
    <w:uiPriority w:val="0"/>
    <w:rPr>
      <w:rFonts w:ascii="宋体" w:hAnsi="Times New Roman" w:eastAsia="宋体" w:cs="Times New Roman"/>
      <w:kern w:val="0"/>
      <w:szCs w:val="20"/>
      <w14:ligatures w14:val="none"/>
    </w:rPr>
  </w:style>
  <w:style w:type="paragraph" w:styleId="28">
    <w:name w:val="List Paragraph"/>
    <w:basedOn w:val="1"/>
    <w:uiPriority w:val="99"/>
    <w:pPr>
      <w:ind w:firstLine="420" w:firstLineChars="200"/>
    </w:pPr>
  </w:style>
  <w:style w:type="character" w:customStyle="1" w:styleId="29">
    <w:name w:val="题注 字符"/>
    <w:link w:val="3"/>
    <w:qFormat/>
    <w:uiPriority w:val="0"/>
    <w:rPr>
      <w:rFonts w:ascii="Calibri Light" w:hAnsi="Calibri Light" w:eastAsia="黑体" w:cs="Times New Roman"/>
      <w:sz w:val="20"/>
      <w:szCs w:val="20"/>
      <w:lang w:val="zh-CN"/>
      <w14:ligatures w14:val="none"/>
    </w:rPr>
  </w:style>
  <w:style w:type="character" w:customStyle="1" w:styleId="30">
    <w:name w:val="标题 1 字符"/>
    <w:basedOn w:val="16"/>
    <w:link w:val="2"/>
    <w:qFormat/>
    <w:uiPriority w:val="9"/>
    <w:rPr>
      <w:rFonts w:ascii="Times New Roman" w:hAnsi="Times New Roman" w:eastAsia="宋体" w:cs="Times New Roman"/>
      <w:b/>
      <w:bCs/>
      <w:kern w:val="44"/>
      <w:sz w:val="44"/>
      <w:szCs w:val="44"/>
      <w14:ligatures w14:val="none"/>
    </w:rPr>
  </w:style>
  <w:style w:type="paragraph" w:customStyle="1" w:styleId="3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104862" w:themeColor="accent1" w:themeShade="BF"/>
      <w:kern w:val="0"/>
      <w:sz w:val="32"/>
      <w:szCs w:val="32"/>
    </w:rPr>
  </w:style>
  <w:style w:type="character" w:customStyle="1" w:styleId="32">
    <w:name w:val="段 字符"/>
    <w:basedOn w:val="16"/>
    <w:qFormat/>
    <w:uiPriority w:val="0"/>
    <w:rPr>
      <w:rFonts w:ascii="宋体"/>
      <w:sz w:val="21"/>
      <w14:ligatures w14:val="standardContextual"/>
    </w:rPr>
  </w:style>
  <w:style w:type="character" w:customStyle="1" w:styleId="33">
    <w:name w:val="批注文字 字符"/>
    <w:basedOn w:val="16"/>
    <w:link w:val="4"/>
    <w:semiHidden/>
    <w:qFormat/>
    <w:uiPriority w:val="99"/>
    <w:rPr>
      <w:rFonts w:ascii="Times New Roman" w:hAnsi="Times New Roman" w:eastAsia="宋体" w:cs="Times New Roman"/>
      <w:szCs w:val="24"/>
      <w14:ligatures w14:val="none"/>
    </w:rPr>
  </w:style>
  <w:style w:type="character" w:customStyle="1" w:styleId="34">
    <w:name w:val="批注主题 字符"/>
    <w:basedOn w:val="33"/>
    <w:link w:val="13"/>
    <w:semiHidden/>
    <w:uiPriority w:val="99"/>
    <w:rPr>
      <w:rFonts w:ascii="Times New Roman" w:hAnsi="Times New Roman" w:eastAsia="宋体" w:cs="Times New Roman"/>
      <w:b/>
      <w:bCs/>
      <w:szCs w:val="24"/>
      <w14:ligatures w14:val="none"/>
    </w:rPr>
  </w:style>
  <w:style w:type="character" w:customStyle="1" w:styleId="35">
    <w:name w:val="批注框文本 字符"/>
    <w:basedOn w:val="16"/>
    <w:link w:val="7"/>
    <w:semiHidden/>
    <w:uiPriority w:val="99"/>
    <w:rPr>
      <w:rFonts w:ascii="Times New Roman" w:hAnsi="Times New Roman" w:eastAsia="宋体" w:cs="Times New Roman"/>
      <w:sz w:val="18"/>
      <w:szCs w:val="18"/>
      <w14:ligatures w14:val="none"/>
    </w:rPr>
  </w:style>
  <w:style w:type="paragraph" w:customStyle="1" w:styleId="3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7">
    <w:name w:val="p2"/>
    <w:basedOn w:val="1"/>
    <w:uiPriority w:val="0"/>
    <w:pPr>
      <w:jc w:val="left"/>
    </w:pPr>
    <w:rPr>
      <w:rFonts w:ascii="Helvetica Neue" w:hAnsi="Helvetica Neue" w:eastAsia="Helvetica Neue"/>
      <w:kern w:val="0"/>
      <w:sz w:val="26"/>
      <w:szCs w:val="26"/>
    </w:rPr>
  </w:style>
  <w:style w:type="paragraph" w:customStyle="1" w:styleId="38">
    <w:name w:val="p4"/>
    <w:basedOn w:val="1"/>
    <w:qFormat/>
    <w:uiPriority w:val="0"/>
    <w:pPr>
      <w:jc w:val="left"/>
    </w:pPr>
    <w:rPr>
      <w:rFonts w:ascii="PingFang SC" w:hAnsi="PingFang SC" w:eastAsia="PingFang SC"/>
      <w:kern w:val="0"/>
      <w:sz w:val="26"/>
      <w:szCs w:val="26"/>
    </w:rPr>
  </w:style>
  <w:style w:type="paragraph" w:customStyle="1" w:styleId="39">
    <w:name w:val="p1"/>
    <w:basedOn w:val="1"/>
    <w:uiPriority w:val="0"/>
    <w:pPr>
      <w:jc w:val="left"/>
    </w:pPr>
    <w:rPr>
      <w:rFonts w:ascii="Helvetica Neue" w:hAnsi="Helvetica Neue" w:eastAsia="Helvetica Neue"/>
      <w:kern w:val="0"/>
      <w:sz w:val="40"/>
      <w:szCs w:val="40"/>
    </w:rPr>
  </w:style>
  <w:style w:type="paragraph" w:customStyle="1" w:styleId="40">
    <w:name w:val="p3"/>
    <w:basedOn w:val="1"/>
    <w:uiPriority w:val="0"/>
    <w:pPr>
      <w:jc w:val="left"/>
    </w:pPr>
    <w:rPr>
      <w:rFonts w:ascii="Helvetica Neue" w:hAnsi="Helvetica Neue" w:eastAsia="Helvetica Neue"/>
      <w:kern w:val="0"/>
      <w:sz w:val="26"/>
      <w:szCs w:val="26"/>
    </w:rPr>
  </w:style>
  <w:style w:type="character" w:customStyle="1" w:styleId="41">
    <w:name w:val="s1"/>
    <w:basedOn w:val="16"/>
    <w:uiPriority w:val="0"/>
    <w:rPr>
      <w:rFonts w:ascii="Helvetica Neue" w:hAnsi="Helvetica Neue" w:eastAsia="Helvetica Neue" w:cs="Helvetica Neue"/>
      <w:sz w:val="26"/>
      <w:szCs w:val="26"/>
    </w:rPr>
  </w:style>
  <w:style w:type="paragraph" w:customStyle="1" w:styleId="42">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emf"/><Relationship Id="rId15" Type="http://schemas.openxmlformats.org/officeDocument/2006/relationships/package" Target="embeddings/Microsoft_Visio___1.vsdx"/><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BB704E-0EB8-456E-8488-2EF4A6749C5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11094</Words>
  <Characters>12116</Characters>
  <Lines>182</Lines>
  <Paragraphs>51</Paragraphs>
  <TotalTime>67</TotalTime>
  <ScaleCrop>false</ScaleCrop>
  <LinksUpToDate>false</LinksUpToDate>
  <CharactersWithSpaces>12443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2025-08-25T08:39:00Z</dcterms:created>
  <dc:creator>储君 王</dc:creator>
  <cp:lastModifiedBy>陈文昕</cp:lastModifiedBy>
  <cp:lastPrinted>2025-09-03T10:03:06Z</cp:lastPrinted>
  <dcterms:modified xsi:type="dcterms:W3CDTF">2025-09-03T10:04:38Z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65CD5D7EB53DC1FBDFDC69689921B8B6_43</vt:lpwstr>
  </property>
  <property fmtid="{D5CDD505-2E9C-101B-9397-08002B2CF9AE}" pid="4" name="KSOTemplateDocerSaveRecord">
    <vt:lpwstr>eyJoZGlkIjoiN2FlZGZlODdlZTZiODE1YjgxZmQ3YWZhYWVjY2M4ZDgiLCJ1c2VySWQiOiIzMjY1MjczMzIifQ==</vt:lpwstr>
  </property>
</Properties>
</file>